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51"/>
        <w:tblW w:w="9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3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6885"/>
      </w:tblGrid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Obudowa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  <w:bCs/>
              </w:rPr>
            </w:pPr>
            <w:r>
              <w:rPr>
                <w:rFonts w:asciiTheme="minorHAnsi" w:eastAsia="Book Antiqua" w:hAnsiTheme="minorHAnsi"/>
              </w:rPr>
              <w:t xml:space="preserve">Obudowa o wysokości maksymalnie 2U do instalacji w szafie RACK 19” z zestawem szyn </w:t>
            </w:r>
            <w:r>
              <w:rPr>
                <w:rFonts w:asciiTheme="minorHAnsi" w:eastAsia="Book Antiqua" w:hAnsiTheme="minorHAnsi"/>
                <w:bCs/>
              </w:rPr>
              <w:t>do mocowania w szafie i wysuwania do celów serwisowych.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Płyta główna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hAnsiTheme="minorHAnsi" w:cs="Times"/>
              </w:rPr>
              <w:t>Płyta główna z możliwością zainstalowania do dwóch procesorów. D</w:t>
            </w:r>
            <w:r>
              <w:rPr>
                <w:rFonts w:asciiTheme="minorHAnsi" w:eastAsia="Book Antiqua" w:hAnsiTheme="minorHAnsi"/>
              </w:rPr>
              <w:t xml:space="preserve">edykowana do pracy w serwerach, wyprodukowana przez producenta serwera, oznaczona jego znakiem firmowym. 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Chipset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hAnsiTheme="minorHAnsi" w:cs="Times"/>
              </w:rPr>
              <w:t>Dedykowany przez producenta procesora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Procesor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</w:pPr>
            <w:r>
              <w:rPr>
                <w:rFonts w:asciiTheme="minorHAnsi" w:eastAsia="Book Antiqua" w:hAnsiTheme="minorHAnsi"/>
              </w:rPr>
              <w:t>Minimum procesor sześciordzeniowy o częstotliwości 2.1 GHz z pamięcią L3 15MB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RAM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</w:pPr>
            <w:r>
              <w:rPr>
                <w:rFonts w:asciiTheme="minorHAnsi" w:hAnsiTheme="minorHAnsi"/>
              </w:rPr>
              <w:t xml:space="preserve">Minimum 8GB RAM </w:t>
            </w:r>
            <w:r>
              <w:rPr>
                <w:rFonts w:asciiTheme="minorHAnsi" w:hAnsiTheme="minorHAnsi"/>
                <w:color w:val="000000"/>
              </w:rPr>
              <w:t>(1x8 GB) 1600MHz</w:t>
            </w:r>
          </w:p>
          <w:p w:rsidR="00A5409E" w:rsidRDefault="00915B14" w:rsidP="00915B14">
            <w:pPr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rozbudowy do minimum 32GB RAM.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Gniazda PCI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ind w:hanging="360"/>
              <w:jc w:val="both"/>
              <w:rPr>
                <w:rFonts w:asciiTheme="minorHAnsi" w:eastAsia="Book Antiqua" w:hAnsiTheme="minorHAnsi"/>
                <w:lang w:val="en-US"/>
              </w:rPr>
            </w:pPr>
            <w:r>
              <w:rPr>
                <w:rFonts w:asciiTheme="minorHAnsi" w:eastAsia="Book Antiqua" w:hAnsiTheme="minorHAnsi"/>
                <w:lang w:val="en-US"/>
              </w:rPr>
              <w:t xml:space="preserve">5 </w:t>
            </w:r>
            <w:proofErr w:type="spellStart"/>
            <w:r>
              <w:rPr>
                <w:rFonts w:asciiTheme="minorHAnsi" w:eastAsia="Book Antiqua" w:hAnsiTheme="minorHAnsi"/>
                <w:lang w:val="en-US"/>
              </w:rPr>
              <w:t>sl</w:t>
            </w:r>
            <w:proofErr w:type="spellEnd"/>
            <w:r>
              <w:rPr>
                <w:rFonts w:asciiTheme="minorHAnsi" w:eastAsia="Book Antiqua" w:hAnsiTheme="minorHAnsi"/>
                <w:lang w:val="en-US"/>
              </w:rPr>
              <w:t xml:space="preserve">  Minimum 2 </w:t>
            </w:r>
            <w:proofErr w:type="spellStart"/>
            <w:r>
              <w:rPr>
                <w:rFonts w:asciiTheme="minorHAnsi" w:eastAsia="Book Antiqua" w:hAnsiTheme="minorHAnsi"/>
                <w:lang w:val="en-US"/>
              </w:rPr>
              <w:t>sloty</w:t>
            </w:r>
            <w:proofErr w:type="spellEnd"/>
            <w:r>
              <w:rPr>
                <w:rFonts w:asciiTheme="minorHAnsi" w:eastAsia="Book Antiqua" w:hAnsiTheme="minorHAnsi"/>
                <w:lang w:val="en-US"/>
              </w:rPr>
              <w:t xml:space="preserve"> PCI-Express Gen</w:t>
            </w:r>
            <w:r w:rsidR="002C1551">
              <w:rPr>
                <w:rFonts w:asciiTheme="minorHAnsi" w:eastAsia="Book Antiqua" w:hAnsiTheme="minorHAnsi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eastAsia="Book Antiqua" w:hAnsiTheme="minorHAnsi"/>
                <w:lang w:val="en-US"/>
              </w:rPr>
              <w:t>2.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 xml:space="preserve">Dyski twarde 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  <w:color w:val="000000"/>
              </w:rPr>
            </w:pPr>
            <w:r>
              <w:rPr>
                <w:rFonts w:asciiTheme="minorHAnsi" w:eastAsia="Book Antiqua" w:hAnsiTheme="minorHAnsi"/>
              </w:rPr>
              <w:t xml:space="preserve">2 dyski minimum 1TB </w:t>
            </w:r>
            <w:r>
              <w:rPr>
                <w:rFonts w:asciiTheme="minorHAnsi" w:eastAsia="Book Antiqua" w:hAnsiTheme="minorHAnsi"/>
                <w:color w:val="000000"/>
              </w:rPr>
              <w:t xml:space="preserve">typu Hot </w:t>
            </w:r>
            <w:proofErr w:type="spellStart"/>
            <w:r>
              <w:rPr>
                <w:rFonts w:asciiTheme="minorHAnsi" w:eastAsia="Book Antiqua" w:hAnsiTheme="minorHAnsi"/>
                <w:color w:val="000000"/>
              </w:rPr>
              <w:t>Swap</w:t>
            </w:r>
            <w:proofErr w:type="spellEnd"/>
            <w:r>
              <w:rPr>
                <w:rFonts w:asciiTheme="minorHAnsi" w:eastAsia="Book Antiqua" w:hAnsiTheme="minorHAnsi"/>
                <w:color w:val="000000"/>
              </w:rPr>
              <w:t xml:space="preserve"> SATA, 7 200 </w:t>
            </w:r>
            <w:proofErr w:type="spellStart"/>
            <w:r>
              <w:rPr>
                <w:rFonts w:asciiTheme="minorHAnsi" w:eastAsia="Book Antiqua" w:hAnsiTheme="minorHAnsi"/>
                <w:color w:val="000000"/>
              </w:rPr>
              <w:t>obr</w:t>
            </w:r>
            <w:proofErr w:type="spellEnd"/>
            <w:r>
              <w:rPr>
                <w:rFonts w:asciiTheme="minorHAnsi" w:eastAsia="Book Antiqua" w:hAnsiTheme="minorHAnsi"/>
                <w:color w:val="000000"/>
              </w:rPr>
              <w:t>./min.</w:t>
            </w:r>
          </w:p>
          <w:p w:rsidR="00A5409E" w:rsidRDefault="00915B14" w:rsidP="00915B14">
            <w:pPr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eastAsia="Book Antiqua" w:hAnsiTheme="minorHAnsi"/>
              </w:rPr>
              <w:t>Możliwość zainstalowania minimalnie 4 dysków w wewnętrznych zatokach serwera.</w:t>
            </w:r>
          </w:p>
        </w:tc>
      </w:tr>
      <w:tr w:rsidR="00A5409E" w:rsidTr="00915B14">
        <w:trPr>
          <w:trHeight w:val="1283"/>
        </w:trPr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Karty rozszerzeń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Theme="minorHAnsi" w:eastAsia="Book Antiqua" w:hAnsiTheme="minorHAnsi"/>
                <w:color w:val="000000"/>
              </w:rPr>
            </w:pPr>
            <w:r>
              <w:rPr>
                <w:rFonts w:asciiTheme="minorHAnsi" w:eastAsia="Book Antiqua" w:hAnsiTheme="minorHAnsi"/>
              </w:rPr>
              <w:t xml:space="preserve">Kontroler macierzowy SAS z cache minimum 512MB </w:t>
            </w:r>
            <w:r>
              <w:rPr>
                <w:rFonts w:asciiTheme="minorHAnsi" w:eastAsia="Book Antiqua" w:hAnsiTheme="minorHAnsi"/>
                <w:color w:val="000000"/>
              </w:rPr>
              <w:t xml:space="preserve">oraz baterią podtrzymującą zawartość pamięci w razie awarii zasilania, zapewniający obsługę 8 napędów dyskowych SAS oraz obsługujący poziomy RAID 0/1/1+0/5/5+0 </w:t>
            </w:r>
          </w:p>
          <w:p w:rsidR="00A5409E" w:rsidRDefault="00915B14" w:rsidP="00915B14">
            <w:pPr>
              <w:pStyle w:val="Akapitzlist"/>
              <w:numPr>
                <w:ilvl w:val="0"/>
                <w:numId w:val="4"/>
              </w:numPr>
              <w:rPr>
                <w:rFonts w:asciiTheme="minorHAnsi" w:eastAsia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000000"/>
                <w:lang w:eastAsia="en-US"/>
              </w:rPr>
              <w:t>Karty sieciowe - min. 4 porty Gigabit Ethernet oraz oddzielny port min Ethernet służący wyłącznie do komunikacji z kontrolerem zdalnego zarządzania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Video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  <w:color w:val="000000"/>
              </w:rPr>
            </w:pPr>
            <w:r>
              <w:rPr>
                <w:rFonts w:asciiTheme="minorHAnsi" w:eastAsia="Book Antiqua" w:hAnsiTheme="minorHAnsi"/>
                <w:color w:val="000000"/>
              </w:rPr>
              <w:t xml:space="preserve">Zintegrowana karta graficzna  min. </w:t>
            </w:r>
            <w:r>
              <w:rPr>
                <w:rFonts w:asciiTheme="minorHAnsi" w:eastAsia="Book Antiqua" w:hAnsiTheme="minorHAnsi"/>
              </w:rPr>
              <w:t>8 MB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Porty zewnętrzne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x szeregowy.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 x USB 2.0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 x USB 3.0 (</w:t>
            </w:r>
            <w:r w:rsidR="00ED1A2E">
              <w:rPr>
                <w:rFonts w:asciiTheme="minorHAnsi" w:hAnsiTheme="minorHAnsi"/>
                <w:color w:val="000000"/>
              </w:rPr>
              <w:t>opcja</w:t>
            </w:r>
            <w:r>
              <w:rPr>
                <w:rFonts w:asciiTheme="minorHAnsi" w:hAnsiTheme="minorHAnsi"/>
                <w:color w:val="000000"/>
              </w:rPr>
              <w:t>)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</w:pPr>
            <w:r>
              <w:rPr>
                <w:rFonts w:asciiTheme="minorHAnsi" w:hAnsiTheme="minorHAnsi"/>
                <w:color w:val="000000"/>
              </w:rPr>
              <w:t>Port VGA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Złącze do podłączenia klawiatury.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Złącze do podłączenia myszy.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 port RJ-45 dedykowany dla interfejsu zdalnego zarządzania.</w:t>
            </w:r>
          </w:p>
          <w:p w:rsidR="00A5409E" w:rsidRDefault="00915B14" w:rsidP="00915B14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 porty RJ45 GBE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 xml:space="preserve">Elementy redundantne </w:t>
            </w:r>
            <w:proofErr w:type="spellStart"/>
            <w:r>
              <w:rPr>
                <w:rFonts w:asciiTheme="minorHAnsi" w:eastAsia="Book Antiqua" w:hAnsiTheme="minorHAnsi"/>
                <w:b/>
                <w:bCs/>
              </w:rPr>
              <w:t>HotPlug</w:t>
            </w:r>
            <w:proofErr w:type="spellEnd"/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eastAsia="Book Antiqua" w:hAnsiTheme="minorHAnsi"/>
              </w:rPr>
              <w:t>Zasilacze, wentylatory.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Zasilanie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snapToGrid w:val="0"/>
              <w:jc w:val="both"/>
            </w:pPr>
            <w:r>
              <w:rPr>
                <w:rFonts w:asciiTheme="minorHAnsi" w:eastAsia="Book Antiqua" w:hAnsiTheme="minorHAnsi"/>
              </w:rPr>
              <w:t xml:space="preserve">2 zasilacze </w:t>
            </w:r>
            <w:r>
              <w:rPr>
                <w:rStyle w:val="Wyrnienie"/>
                <w:rFonts w:asciiTheme="minorHAnsi" w:hAnsiTheme="minorHAnsi"/>
                <w:i w:val="0"/>
              </w:rPr>
              <w:t xml:space="preserve">Hot </w:t>
            </w:r>
            <w:proofErr w:type="spellStart"/>
            <w:r>
              <w:rPr>
                <w:rStyle w:val="Wyrnienie"/>
                <w:rFonts w:asciiTheme="minorHAnsi" w:hAnsiTheme="minorHAnsi"/>
                <w:i w:val="0"/>
              </w:rPr>
              <w:t>Swap</w:t>
            </w:r>
            <w:proofErr w:type="spellEnd"/>
            <w:r>
              <w:rPr>
                <w:rFonts w:asciiTheme="minorHAnsi" w:eastAsia="Book Antiqua" w:hAnsiTheme="minorHAnsi"/>
              </w:rPr>
              <w:t xml:space="preserve"> redundantne o mocy min. 450 W każdy, jednak nie mniejszej niż wymagana do prawidłowej mocy serwera</w:t>
            </w:r>
          </w:p>
        </w:tc>
      </w:tr>
      <w:tr w:rsidR="00A5409E" w:rsidTr="00915B14"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Warunki gwarancji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ind w:left="714" w:hanging="357"/>
              <w:jc w:val="both"/>
              <w:rPr>
                <w:rFonts w:asciiTheme="minorHAnsi" w:eastAsia="Book Antiqua" w:hAnsiTheme="minorHAnsi"/>
                <w:bCs/>
              </w:rPr>
            </w:pPr>
            <w:r>
              <w:rPr>
                <w:rFonts w:asciiTheme="minorHAnsi" w:eastAsia="Book Antiqua" w:hAnsiTheme="minorHAnsi"/>
                <w:bCs/>
              </w:rPr>
              <w:t>36 miesięcy na miejscu u klienta z czasem reakcji serwisu do końca następnego dnia roboczego.</w:t>
            </w:r>
          </w:p>
          <w:p w:rsidR="00A5409E" w:rsidRDefault="00915B14" w:rsidP="00915B14">
            <w:pPr>
              <w:widowControl w:val="0"/>
              <w:numPr>
                <w:ilvl w:val="0"/>
                <w:numId w:val="2"/>
              </w:numPr>
              <w:suppressAutoHyphens/>
              <w:ind w:left="714" w:hanging="357"/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eastAsia="Book Antiqua" w:hAnsiTheme="minorHAnsi"/>
              </w:rPr>
              <w:t>W przypadku awarii dysku twardego uszkodzony nośnik pozostaje u Zamawiającego.</w:t>
            </w:r>
          </w:p>
          <w:p w:rsidR="00A5409E" w:rsidRDefault="00915B14" w:rsidP="00915B14">
            <w:pPr>
              <w:widowControl w:val="0"/>
              <w:numPr>
                <w:ilvl w:val="0"/>
                <w:numId w:val="2"/>
              </w:numPr>
              <w:suppressAutoHyphens/>
              <w:ind w:left="714" w:hanging="357"/>
              <w:jc w:val="both"/>
              <w:rPr>
                <w:rFonts w:asciiTheme="minorHAnsi" w:eastAsia="Book Antiqua" w:hAnsiTheme="minorHAnsi"/>
              </w:rPr>
            </w:pPr>
            <w:r>
              <w:rPr>
                <w:rFonts w:asciiTheme="minorHAnsi" w:eastAsia="Book Antiqua" w:hAnsiTheme="minorHAnsi"/>
              </w:rPr>
              <w:t>Możliwość rozszerzenia gwarancji o dodatkowe 12 miesięcy.</w:t>
            </w:r>
          </w:p>
        </w:tc>
      </w:tr>
      <w:tr w:rsidR="00A5409E" w:rsidTr="00915B14">
        <w:trPr>
          <w:trHeight w:val="1992"/>
        </w:trPr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A5409E" w:rsidRDefault="00915B14" w:rsidP="00915B14">
            <w:pPr>
              <w:snapToGrid w:val="0"/>
              <w:rPr>
                <w:rFonts w:asciiTheme="minorHAnsi" w:eastAsia="Book Antiqua" w:hAnsiTheme="minorHAnsi"/>
                <w:b/>
                <w:bCs/>
              </w:rPr>
            </w:pPr>
            <w:r>
              <w:rPr>
                <w:rFonts w:asciiTheme="minorHAnsi" w:eastAsia="Book Antiqua" w:hAnsiTheme="minorHAnsi"/>
                <w:b/>
                <w:bCs/>
              </w:rPr>
              <w:t>Inne</w:t>
            </w:r>
          </w:p>
        </w:tc>
        <w:tc>
          <w:tcPr>
            <w:tcW w:w="6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3" w:type="dxa"/>
            </w:tcMar>
          </w:tcPr>
          <w:p w:rsidR="00A5409E" w:rsidRDefault="00915B14" w:rsidP="00915B14">
            <w:pPr>
              <w:widowControl w:val="0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Serwer musi być fabrycznie nowy i pochodzić z oficjalnego kanału dystrybucyjnego na terenie Unii Europejskiej.</w:t>
            </w:r>
          </w:p>
          <w:p w:rsidR="00A5409E" w:rsidRDefault="00915B14" w:rsidP="00915B14">
            <w:pPr>
              <w:widowControl w:val="0"/>
              <w:numPr>
                <w:ilvl w:val="0"/>
                <w:numId w:val="3"/>
              </w:numPr>
              <w:ind w:left="714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 zobowiązany jest dostarczyć wraz z ofertą, szczegółową specyfikację techniczną oferowanego sprzętu.</w:t>
            </w:r>
          </w:p>
          <w:p w:rsidR="00A5409E" w:rsidRDefault="00915B14" w:rsidP="00915B14">
            <w:pPr>
              <w:widowControl w:val="0"/>
              <w:numPr>
                <w:ilvl w:val="0"/>
                <w:numId w:val="3"/>
              </w:numPr>
              <w:ind w:left="714" w:hanging="357"/>
              <w:jc w:val="both"/>
            </w:pPr>
            <w:r>
              <w:rPr>
                <w:rFonts w:asciiTheme="minorHAnsi" w:hAnsiTheme="minorHAnsi"/>
              </w:rPr>
              <w:t>Dostępność części zamiennych przez 3 lat od momentu zakupu serwera (oświadczenie producenta).</w:t>
            </w:r>
          </w:p>
          <w:p w:rsidR="00A5409E" w:rsidRDefault="00915B14" w:rsidP="00915B14">
            <w:pPr>
              <w:widowControl w:val="0"/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aktualizacji i pobrania sterowników do oferowanego modelu serwera w najnowszych certyfikowanych wersjach bezpośrednio z sieci Internet za pośrednictwem strony www producenta komputera.</w:t>
            </w:r>
          </w:p>
        </w:tc>
      </w:tr>
    </w:tbl>
    <w:p w:rsidR="00EC2092" w:rsidRDefault="00ED1A2E" w:rsidP="00915B14">
      <w:pPr>
        <w:pStyle w:val="Bezodstpw"/>
        <w:ind w:left="3540" w:firstLine="708"/>
      </w:pPr>
      <w:r w:rsidRPr="00063937">
        <w:rPr>
          <w:b/>
        </w:rPr>
        <w:t>Zał</w:t>
      </w:r>
      <w:r w:rsidRPr="00063937">
        <w:rPr>
          <w:rFonts w:hint="eastAsia"/>
          <w:b/>
        </w:rPr>
        <w:t>ą</w:t>
      </w:r>
      <w:r w:rsidRPr="00063937">
        <w:rPr>
          <w:b/>
        </w:rPr>
        <w:t xml:space="preserve">cznik nr </w:t>
      </w:r>
      <w:r w:rsidR="00915B14">
        <w:rPr>
          <w:b/>
        </w:rPr>
        <w:t>1</w:t>
      </w:r>
      <w:r>
        <w:t xml:space="preserve"> </w:t>
      </w:r>
      <w:r w:rsidR="00EC2092">
        <w:t>do umowy z dnia ………………………………</w:t>
      </w:r>
    </w:p>
    <w:p w:rsidR="00915B14" w:rsidRDefault="00915B14" w:rsidP="00EC2092">
      <w:pPr>
        <w:pStyle w:val="Bezodstpw"/>
        <w:ind w:left="4248"/>
      </w:pPr>
      <w:r>
        <w:t>–</w:t>
      </w:r>
      <w:r w:rsidR="00ED1A2E">
        <w:t xml:space="preserve"> </w:t>
      </w:r>
      <w:r>
        <w:t xml:space="preserve">specyfikacja techniczna </w:t>
      </w:r>
      <w:r w:rsidR="00ED1A2E">
        <w:t>serwera</w:t>
      </w:r>
      <w:r w:rsidR="00EC2092">
        <w:t xml:space="preserve"> </w:t>
      </w:r>
      <w:r>
        <w:t xml:space="preserve">dla </w:t>
      </w:r>
      <w:r w:rsidR="00A970D2">
        <w:t>B</w:t>
      </w:r>
      <w:r w:rsidR="00E55F6E">
        <w:t xml:space="preserve">iblioteki </w:t>
      </w:r>
      <w:r>
        <w:t>Chrześcijańskiej Akademii Teologicznej</w:t>
      </w:r>
      <w:r w:rsidR="00EC2092">
        <w:t xml:space="preserve"> </w:t>
      </w:r>
      <w:r>
        <w:t>w Warszawie</w:t>
      </w:r>
    </w:p>
    <w:p w:rsidR="00915B14" w:rsidRDefault="00915B14" w:rsidP="00915B14">
      <w:pPr>
        <w:pStyle w:val="Bezodstpw"/>
        <w:jc w:val="center"/>
        <w:rPr>
          <w:b/>
          <w:bCs/>
          <w:sz w:val="24"/>
          <w:szCs w:val="24"/>
        </w:rPr>
      </w:pPr>
    </w:p>
    <w:p w:rsidR="00915B14" w:rsidRDefault="00915B14" w:rsidP="00915B14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opis przedmiotu zamówienia</w:t>
      </w:r>
    </w:p>
    <w:p w:rsidR="00915B14" w:rsidRDefault="00915B14" w:rsidP="00915B14">
      <w:pPr>
        <w:pStyle w:val="Bezodstpw"/>
        <w:jc w:val="center"/>
      </w:pPr>
      <w:r>
        <w:rPr>
          <w:b/>
          <w:bCs/>
          <w:sz w:val="24"/>
          <w:szCs w:val="24"/>
        </w:rPr>
        <w:t>Specyfikacja techniczna serwera</w:t>
      </w:r>
    </w:p>
    <w:sectPr w:rsidR="00915B14" w:rsidSect="00ED1A2E">
      <w:pgSz w:w="11906" w:h="16838"/>
      <w:pgMar w:top="851" w:right="1418" w:bottom="851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089"/>
    <w:multiLevelType w:val="multilevel"/>
    <w:tmpl w:val="B5B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DE247C"/>
    <w:multiLevelType w:val="multilevel"/>
    <w:tmpl w:val="D9B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13940EC"/>
    <w:multiLevelType w:val="multilevel"/>
    <w:tmpl w:val="DF7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E5E587F"/>
    <w:multiLevelType w:val="multilevel"/>
    <w:tmpl w:val="B2DAE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444601"/>
    <w:multiLevelType w:val="multilevel"/>
    <w:tmpl w:val="8AB24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9E"/>
    <w:rsid w:val="002C1551"/>
    <w:rsid w:val="00915B14"/>
    <w:rsid w:val="00A5409E"/>
    <w:rsid w:val="00A970D2"/>
    <w:rsid w:val="00E55F6E"/>
    <w:rsid w:val="00EC2092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E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91358"/>
    <w:rPr>
      <w:i/>
      <w:i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Calibri" w:hAnsi="Calibri"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Calibri" w:hAnsi="Calibri" w:cs="OpenSymbol"/>
      <w:b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Calibri" w:hAnsi="Calibri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Calibri" w:hAnsi="Calibri"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Calibri" w:hAnsi="Calibri" w:cs="OpenSymbol"/>
      <w:b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Calibri" w:hAnsi="Calibri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qFormat/>
    <w:rsid w:val="000519E2"/>
    <w:pPr>
      <w:keepNext/>
      <w:widowControl w:val="0"/>
      <w:suppressAutoHyphens/>
      <w:ind w:left="720" w:hanging="360"/>
      <w:outlineLvl w:val="0"/>
    </w:pPr>
    <w:rPr>
      <w:rFonts w:eastAsia="DejaVu Sans" w:cs="Lohit Hindi"/>
      <w:b/>
      <w:bCs/>
      <w:sz w:val="24"/>
      <w:szCs w:val="24"/>
      <w:lang w:eastAsia="hi-IN" w:bidi="hi-IN"/>
    </w:rPr>
  </w:style>
  <w:style w:type="paragraph" w:customStyle="1" w:styleId="Default">
    <w:name w:val="Default"/>
    <w:qFormat/>
    <w:rsid w:val="00CC1806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806"/>
    <w:pPr>
      <w:ind w:left="720"/>
      <w:contextualSpacing/>
    </w:pPr>
  </w:style>
  <w:style w:type="paragraph" w:styleId="Bezodstpw">
    <w:name w:val="No Spacing"/>
    <w:uiPriority w:val="1"/>
    <w:qFormat/>
    <w:rsid w:val="00ED1A2E"/>
    <w:pPr>
      <w:spacing w:line="240" w:lineRule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9E2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91358"/>
    <w:rPr>
      <w:i/>
      <w:i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Calibri" w:hAnsi="Calibri"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ascii="Calibri" w:hAnsi="Calibri" w:cs="OpenSymbol"/>
      <w:b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Calibri" w:hAnsi="Calibri"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Calibri" w:hAnsi="Calibri"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Calibri" w:hAnsi="Calibri" w:cs="OpenSymbol"/>
      <w:b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ascii="Calibri" w:hAnsi="Calibri"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Calibri" w:hAnsi="Calibri"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1">
    <w:name w:val="Nagłówek 11"/>
    <w:basedOn w:val="Normalny"/>
    <w:qFormat/>
    <w:rsid w:val="000519E2"/>
    <w:pPr>
      <w:keepNext/>
      <w:widowControl w:val="0"/>
      <w:suppressAutoHyphens/>
      <w:ind w:left="720" w:hanging="360"/>
      <w:outlineLvl w:val="0"/>
    </w:pPr>
    <w:rPr>
      <w:rFonts w:eastAsia="DejaVu Sans" w:cs="Lohit Hindi"/>
      <w:b/>
      <w:bCs/>
      <w:sz w:val="24"/>
      <w:szCs w:val="24"/>
      <w:lang w:eastAsia="hi-IN" w:bidi="hi-IN"/>
    </w:rPr>
  </w:style>
  <w:style w:type="paragraph" w:customStyle="1" w:styleId="Default">
    <w:name w:val="Default"/>
    <w:qFormat/>
    <w:rsid w:val="00CC1806"/>
    <w:pPr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806"/>
    <w:pPr>
      <w:ind w:left="720"/>
      <w:contextualSpacing/>
    </w:pPr>
  </w:style>
  <w:style w:type="paragraph" w:styleId="Bezodstpw">
    <w:name w:val="No Spacing"/>
    <w:uiPriority w:val="1"/>
    <w:qFormat/>
    <w:rsid w:val="00ED1A2E"/>
    <w:pPr>
      <w:spacing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michal.dudzik@tu.koszalin.pl</dc:creator>
  <dc:description/>
  <cp:lastModifiedBy>Bogumiła</cp:lastModifiedBy>
  <cp:revision>37</cp:revision>
  <dcterms:created xsi:type="dcterms:W3CDTF">2015-10-01T12:21:00Z</dcterms:created>
  <dcterms:modified xsi:type="dcterms:W3CDTF">2016-05-24T13:14:00Z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