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B8F" w:rsidRPr="00AB57BE" w:rsidRDefault="00FF1B8F" w:rsidP="00FF1B8F">
      <w:pPr>
        <w:spacing w:after="0" w:line="240" w:lineRule="auto"/>
        <w:jc w:val="center"/>
        <w:rPr>
          <w:rFonts w:ascii="Lato" w:eastAsia="Times New Roman" w:hAnsi="Lato" w:cs="Lato"/>
          <w:b/>
          <w:caps/>
          <w:lang w:eastAsia="pl-PL"/>
        </w:rPr>
      </w:pPr>
    </w:p>
    <w:p w:rsidR="00CE7B4A" w:rsidRPr="00742D54" w:rsidRDefault="00CE7B4A" w:rsidP="00CE7B4A">
      <w:pPr>
        <w:jc w:val="center"/>
        <w:rPr>
          <w:b/>
        </w:rPr>
      </w:pPr>
      <w:r w:rsidRPr="00742D54">
        <w:rPr>
          <w:b/>
        </w:rPr>
        <w:t>OPIS PRZEDMIOTU ZAMÓWIENIA</w:t>
      </w:r>
    </w:p>
    <w:p w:rsidR="00CE7B4A" w:rsidRDefault="00CE7B4A" w:rsidP="00CE7B4A">
      <w:r>
        <w:t>Przedmiotem zamówienia jest:</w:t>
      </w:r>
    </w:p>
    <w:p w:rsidR="00CE7B4A" w:rsidRDefault="00CE7B4A" w:rsidP="00CE7B4A">
      <w:r>
        <w:t>Organizacja i przeprowadzenie cyklu warsztatów w zakresie zamówień publicznych dla dwóch pracowników Chrześcijańskiej Akademii Teologicznej w Warszawie.</w:t>
      </w:r>
    </w:p>
    <w:p w:rsidR="00CE7B4A" w:rsidRDefault="00CE7B4A" w:rsidP="00CE7B4A">
      <w:r>
        <w:t xml:space="preserve">Warsztaty będą podzielone na trzy powiązane ze sobą 5-cio dniowe moduły. Zorganizowane będą w formule stacjonarnej. Na każdy moduł składa się pięć dni warsztatowych. Każdy dzień to 8 godzin lekcyjnych (6 godzin zegarowych). Warsztaty winny mieć charakter zajęć praktycznych. Podczas warsztatów poza przekazaniem wiedzy teoretycznej, trener przeprowadzi ćwiczenia praktyczne na platformie e-zamówienia oraz Bazie Konkurencyjności. Przeprowadzi również analizę wskazanej przez uczestników dokumentacji przetargowej dotychczas zrealizowanych postepowań wraz z omówieniem zapisów dokumentacji. </w:t>
      </w:r>
    </w:p>
    <w:p w:rsidR="00CE7B4A" w:rsidRDefault="00CE7B4A" w:rsidP="00CE7B4A">
      <w:r w:rsidRPr="00D271AC">
        <w:t>Moduł I Zamówienia publiczne w progach krajowych</w:t>
      </w:r>
    </w:p>
    <w:p w:rsidR="00CE7B4A" w:rsidRDefault="00CE7B4A" w:rsidP="00CE7B4A">
      <w:r w:rsidRPr="006F111B">
        <w:t>Moduł II Zapytanie ofertowe, Baza konkurencyjności, Regulamin udzielania zamówień w Uczelniach Wyższych, taryfikator</w:t>
      </w:r>
      <w:r>
        <w:t xml:space="preserve">, pomoc publiczna w </w:t>
      </w:r>
      <w:r w:rsidRPr="00C01FE4">
        <w:t>projektach finansowanych ze środków unijnych</w:t>
      </w:r>
    </w:p>
    <w:p w:rsidR="00CE7B4A" w:rsidRPr="006F111B" w:rsidRDefault="00CE7B4A" w:rsidP="00CE7B4A">
      <w:r w:rsidRPr="006F111B">
        <w:t>Moduł III: Postepowania powyżej progu unijnego, umowa w Zamówieniach Publicznych, kontrola postępowań  o udzielenie zamówień publicznych.</w:t>
      </w:r>
    </w:p>
    <w:p w:rsidR="00CE7B4A" w:rsidRDefault="00CE7B4A" w:rsidP="00CE7B4A">
      <w:r>
        <w:t>Łącznie warsztaty będą trwać:</w:t>
      </w:r>
    </w:p>
    <w:p w:rsidR="00CE7B4A" w:rsidRDefault="00CE7B4A" w:rsidP="00CE7B4A">
      <w:r>
        <w:t>15 dni tj.: 120 godzin lekcyjnych.</w:t>
      </w:r>
    </w:p>
    <w:p w:rsidR="00CE7B4A" w:rsidRDefault="00CE7B4A" w:rsidP="00CE7B4A">
      <w:r>
        <w:t xml:space="preserve">Ze względu na spójność prowadzonych warsztatów w poszczególnych modułach Zamawiający wymaga aby wszystkie warsztaty przeprowadził ten sam trener. Zamawiający nie dopuszcza składania odrębnych ofert na poszczególne moduły. </w:t>
      </w:r>
    </w:p>
    <w:p w:rsidR="00CE7B4A" w:rsidRDefault="00CE7B4A" w:rsidP="00CE7B4A">
      <w:r>
        <w:t>Miejsce przeprowadzenia warsztatów: siedziba Zamawiającego, ul. Broniewskiego 48; 01-771 Warszawa</w:t>
      </w:r>
    </w:p>
    <w:p w:rsidR="00CE7B4A" w:rsidRDefault="00CE7B4A" w:rsidP="00CE7B4A">
      <w:r>
        <w:t>Szczegółowy zakres warsztatów:</w:t>
      </w:r>
    </w:p>
    <w:p w:rsidR="00CE7B4A" w:rsidRDefault="00CE7B4A" w:rsidP="00CE7B4A">
      <w:r>
        <w:t>Moduł I Zamówienia publiczne w progach krajowych</w:t>
      </w:r>
    </w:p>
    <w:p w:rsidR="00CE7B4A" w:rsidRDefault="00CE7B4A" w:rsidP="00CE7B4A">
      <w:r>
        <w:t>1. Podstawa prawna</w:t>
      </w:r>
    </w:p>
    <w:p w:rsidR="00CE7B4A" w:rsidRDefault="00CE7B4A" w:rsidP="00CE7B4A">
      <w:r>
        <w:t>- Prawo unijne</w:t>
      </w:r>
    </w:p>
    <w:p w:rsidR="00CE7B4A" w:rsidRDefault="00CE7B4A" w:rsidP="00CE7B4A">
      <w:r>
        <w:t>- Prawo polskie</w:t>
      </w:r>
    </w:p>
    <w:p w:rsidR="00CE7B4A" w:rsidRDefault="00CE7B4A" w:rsidP="00CE7B4A">
      <w:r>
        <w:t>- Obwieszenia dotyczące progów</w:t>
      </w:r>
    </w:p>
    <w:p w:rsidR="00CE7B4A" w:rsidRDefault="00CE7B4A" w:rsidP="00CE7B4A">
      <w:r>
        <w:t>2. Obowiązek stosowania ustawy</w:t>
      </w:r>
    </w:p>
    <w:p w:rsidR="00CE7B4A" w:rsidRDefault="00CE7B4A" w:rsidP="00CE7B4A">
      <w:r>
        <w:t>3. Progi wartości zamówień i ich wpływ na postępowanie</w:t>
      </w:r>
    </w:p>
    <w:p w:rsidR="00CE7B4A" w:rsidRDefault="00CE7B4A" w:rsidP="00CE7B4A">
      <w:r>
        <w:t>- kurs euro</w:t>
      </w:r>
    </w:p>
    <w:p w:rsidR="00CE7B4A" w:rsidRDefault="00CE7B4A" w:rsidP="00CE7B4A">
      <w:r>
        <w:t>- progi w postepowaniach klasycznych</w:t>
      </w:r>
    </w:p>
    <w:p w:rsidR="00CE7B4A" w:rsidRDefault="00CE7B4A" w:rsidP="00CE7B4A">
      <w:r>
        <w:lastRenderedPageBreak/>
        <w:t>- zamówienia sektorowe</w:t>
      </w:r>
    </w:p>
    <w:p w:rsidR="00CE7B4A" w:rsidRDefault="00CE7B4A" w:rsidP="00CE7B4A">
      <w:r>
        <w:t>- zamówienia w dziedzinie obronności</w:t>
      </w:r>
    </w:p>
    <w:p w:rsidR="00CE7B4A" w:rsidRDefault="00CE7B4A" w:rsidP="00CE7B4A">
      <w:r>
        <w:t>- usługi społeczne</w:t>
      </w:r>
    </w:p>
    <w:p w:rsidR="00CE7B4A" w:rsidRDefault="00CE7B4A" w:rsidP="00CE7B4A">
      <w:r>
        <w:t xml:space="preserve">4. Wyłączenia z obowiązku stosowania ustawy/ przykłady </w:t>
      </w:r>
    </w:p>
    <w:p w:rsidR="00CE7B4A" w:rsidRDefault="00CE7B4A" w:rsidP="00CE7B4A">
      <w:r>
        <w:t>5. Tryby określone w ustawie / Zmiany przepisów dotyczących poszczególnych trybów</w:t>
      </w:r>
    </w:p>
    <w:p w:rsidR="00CE7B4A" w:rsidRDefault="00CE7B4A" w:rsidP="00CE7B4A">
      <w:r>
        <w:t>6. Cel i kierunek zmian nowej ustawy Pzp.</w:t>
      </w:r>
    </w:p>
    <w:p w:rsidR="00CE7B4A" w:rsidRDefault="00CE7B4A" w:rsidP="00CE7B4A">
      <w:r>
        <w:t>7. Podstawowe zasady udzielania zamówień publicznych</w:t>
      </w:r>
    </w:p>
    <w:p w:rsidR="00CE7B4A" w:rsidRDefault="00CE7B4A" w:rsidP="00CE7B4A">
      <w:r>
        <w:t>8. Nowe definicje - zmiany określeń podstawowych pojęć, doprecyzowania.</w:t>
      </w:r>
    </w:p>
    <w:p w:rsidR="00CE7B4A" w:rsidRDefault="00CE7B4A" w:rsidP="00CE7B4A">
      <w:r>
        <w:t>9. Sposoby szacowania</w:t>
      </w:r>
    </w:p>
    <w:p w:rsidR="00CE7B4A" w:rsidRDefault="00CE7B4A" w:rsidP="00CE7B4A">
      <w:r>
        <w:t>10. Dokumentacja szacowania – przygotowanie postępowania</w:t>
      </w:r>
    </w:p>
    <w:p w:rsidR="00CE7B4A" w:rsidRDefault="00CE7B4A" w:rsidP="00CE7B4A">
      <w:r>
        <w:t>11. Opis przedmiotu zamówienia</w:t>
      </w:r>
    </w:p>
    <w:p w:rsidR="00CE7B4A" w:rsidRDefault="00CE7B4A" w:rsidP="00CE7B4A">
      <w:r>
        <w:t>12. SWZ</w:t>
      </w:r>
    </w:p>
    <w:p w:rsidR="00CE7B4A" w:rsidRDefault="00CE7B4A" w:rsidP="00CE7B4A">
      <w:r>
        <w:t>13. Rejestracja na platformach /Elektronizacja zamówień publicznych/</w:t>
      </w:r>
    </w:p>
    <w:p w:rsidR="00CE7B4A" w:rsidRDefault="00CE7B4A" w:rsidP="00CE7B4A">
      <w:r>
        <w:t>14. Przygotowanie postępowania</w:t>
      </w:r>
    </w:p>
    <w:p w:rsidR="00CE7B4A" w:rsidRDefault="00CE7B4A" w:rsidP="00CE7B4A">
      <w:r>
        <w:t>15. Wszczęcie postępowania – miejsce i sposób publikacji</w:t>
      </w:r>
    </w:p>
    <w:p w:rsidR="00CE7B4A" w:rsidRDefault="00CE7B4A" w:rsidP="00CE7B4A">
      <w:r>
        <w:t>16. Kiedy nie musimy tworzyć SWZ</w:t>
      </w:r>
    </w:p>
    <w:p w:rsidR="00CE7B4A" w:rsidRDefault="00CE7B4A" w:rsidP="00CE7B4A">
      <w:r>
        <w:t>17. Zamawiający</w:t>
      </w:r>
    </w:p>
    <w:p w:rsidR="00CE7B4A" w:rsidRDefault="00CE7B4A" w:rsidP="00CE7B4A">
      <w:r>
        <w:t>18. Wykonawca</w:t>
      </w:r>
    </w:p>
    <w:p w:rsidR="00CE7B4A" w:rsidRDefault="00CE7B4A" w:rsidP="00CE7B4A">
      <w:r>
        <w:t>- podwykonawcy</w:t>
      </w:r>
    </w:p>
    <w:p w:rsidR="00CE7B4A" w:rsidRDefault="00CE7B4A" w:rsidP="00CE7B4A">
      <w:r>
        <w:t>- zasady korzystania z zasobów podmiotów trzecich</w:t>
      </w:r>
    </w:p>
    <w:p w:rsidR="00CE7B4A" w:rsidRDefault="00CE7B4A" w:rsidP="00CE7B4A">
      <w:r>
        <w:t>- konsorcja</w:t>
      </w:r>
    </w:p>
    <w:p w:rsidR="00CE7B4A" w:rsidRDefault="00CE7B4A" w:rsidP="00CE7B4A">
      <w:r>
        <w:t>19. Strona postępowania</w:t>
      </w:r>
    </w:p>
    <w:p w:rsidR="00CE7B4A" w:rsidRDefault="00CE7B4A" w:rsidP="00CE7B4A">
      <w:r>
        <w:t>20. Opis przedmiotu zamówienia</w:t>
      </w:r>
    </w:p>
    <w:p w:rsidR="00CE7B4A" w:rsidRDefault="00CE7B4A" w:rsidP="00CE7B4A">
      <w:r>
        <w:t>21. Kryteria wyboru oferty</w:t>
      </w:r>
    </w:p>
    <w:p w:rsidR="00CE7B4A" w:rsidRDefault="00CE7B4A" w:rsidP="00CE7B4A">
      <w:r>
        <w:t>22. Warunki udziału w postępowaniu</w:t>
      </w:r>
    </w:p>
    <w:p w:rsidR="00CE7B4A" w:rsidRDefault="00CE7B4A" w:rsidP="00CE7B4A">
      <w:r>
        <w:t>23. Wykluczenia</w:t>
      </w:r>
    </w:p>
    <w:p w:rsidR="00CE7B4A" w:rsidRDefault="00CE7B4A" w:rsidP="00CE7B4A">
      <w:r>
        <w:t>- obligatoryjne</w:t>
      </w:r>
    </w:p>
    <w:p w:rsidR="00CE7B4A" w:rsidRDefault="00CE7B4A" w:rsidP="00CE7B4A">
      <w:r>
        <w:t>- fakultatywne</w:t>
      </w:r>
    </w:p>
    <w:p w:rsidR="00CE7B4A" w:rsidRDefault="00CE7B4A" w:rsidP="00CE7B4A">
      <w:r>
        <w:t>- nowe przesłanki</w:t>
      </w:r>
    </w:p>
    <w:p w:rsidR="00CE7B4A" w:rsidRDefault="00CE7B4A" w:rsidP="00CE7B4A">
      <w:r>
        <w:lastRenderedPageBreak/>
        <w:t>- samooczyszczenie</w:t>
      </w:r>
    </w:p>
    <w:p w:rsidR="00CE7B4A" w:rsidRDefault="00CE7B4A" w:rsidP="00CE7B4A">
      <w:r>
        <w:t>24. Oświadczenia w postępowaniu o udzielenie zamówienia publicznego – nowe regulacje.</w:t>
      </w:r>
    </w:p>
    <w:p w:rsidR="00CE7B4A" w:rsidRDefault="00CE7B4A" w:rsidP="00CE7B4A">
      <w:r>
        <w:t>25. Podmiotowe środki dowodowe</w:t>
      </w:r>
    </w:p>
    <w:p w:rsidR="00CE7B4A" w:rsidRDefault="00CE7B4A" w:rsidP="00CE7B4A">
      <w:r>
        <w:t>26. Wadium</w:t>
      </w:r>
    </w:p>
    <w:p w:rsidR="00CE7B4A" w:rsidRDefault="00CE7B4A" w:rsidP="00CE7B4A">
      <w:r>
        <w:t>27. Wymagania w zakresie podwykonawstwa</w:t>
      </w:r>
    </w:p>
    <w:p w:rsidR="00CE7B4A" w:rsidRDefault="00CE7B4A" w:rsidP="00CE7B4A">
      <w:r>
        <w:t>28. Załączniki do SWZ</w:t>
      </w:r>
    </w:p>
    <w:p w:rsidR="00CE7B4A" w:rsidRDefault="00CE7B4A" w:rsidP="00CE7B4A">
      <w:r>
        <w:t>29. Związanie ofertą. Nowy sposób określenia trwania</w:t>
      </w:r>
    </w:p>
    <w:p w:rsidR="00CE7B4A" w:rsidRDefault="00CE7B4A" w:rsidP="00CE7B4A">
      <w:r>
        <w:t>30. Komunikacja z wykonawcą / Elektronizacja zamówień publicznych/</w:t>
      </w:r>
    </w:p>
    <w:p w:rsidR="00CE7B4A" w:rsidRDefault="00CE7B4A" w:rsidP="00CE7B4A">
      <w:r>
        <w:t>31. Odpowiedzi na pytania do treści SWZ</w:t>
      </w:r>
    </w:p>
    <w:p w:rsidR="00CE7B4A" w:rsidRDefault="00CE7B4A" w:rsidP="00CE7B4A">
      <w:r>
        <w:t>32. Sposób i termin składania ofert</w:t>
      </w:r>
    </w:p>
    <w:p w:rsidR="00CE7B4A" w:rsidRDefault="00CE7B4A" w:rsidP="00CE7B4A">
      <w:r>
        <w:t>33. Formularz oceny oferty</w:t>
      </w:r>
    </w:p>
    <w:p w:rsidR="00CE7B4A" w:rsidRDefault="00CE7B4A" w:rsidP="00CE7B4A">
      <w:r>
        <w:t>34. Rażąco niska cena</w:t>
      </w:r>
    </w:p>
    <w:p w:rsidR="00CE7B4A" w:rsidRDefault="00CE7B4A" w:rsidP="00CE7B4A">
      <w:r>
        <w:t>35. Wezwanie do wyjaśnień i uzupełnień</w:t>
      </w:r>
    </w:p>
    <w:p w:rsidR="00CE7B4A" w:rsidRDefault="00CE7B4A" w:rsidP="00CE7B4A">
      <w:r>
        <w:t>36. Wybór oferty i związana z tym dokumentacja</w:t>
      </w:r>
    </w:p>
    <w:p w:rsidR="00CE7B4A" w:rsidRDefault="00CE7B4A" w:rsidP="00CE7B4A">
      <w:r>
        <w:t>37. Zawarcie umowy i związane z tym obowiązki Zamawiającego</w:t>
      </w:r>
    </w:p>
    <w:p w:rsidR="00CE7B4A" w:rsidRDefault="00CE7B4A" w:rsidP="00CE7B4A">
      <w:r>
        <w:t xml:space="preserve">41. Dyskusja,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study</w:t>
      </w:r>
      <w:proofErr w:type="spellEnd"/>
      <w:r>
        <w:t>, odpowiedzi na pytania.</w:t>
      </w:r>
    </w:p>
    <w:p w:rsidR="00CE7B4A" w:rsidRDefault="00CE7B4A" w:rsidP="00CE7B4A">
      <w:r>
        <w:t>Część praktyczna:</w:t>
      </w:r>
    </w:p>
    <w:p w:rsidR="00CE7B4A" w:rsidRDefault="00CE7B4A" w:rsidP="00CE7B4A">
      <w:pPr>
        <w:pStyle w:val="Akapitzlist"/>
        <w:numPr>
          <w:ilvl w:val="0"/>
          <w:numId w:val="19"/>
        </w:numPr>
        <w:spacing w:after="160" w:line="259" w:lineRule="auto"/>
      </w:pPr>
      <w:r>
        <w:t>Przygotowanie wniosku o wszczęcie postępowania</w:t>
      </w:r>
    </w:p>
    <w:p w:rsidR="00CE7B4A" w:rsidRDefault="00CE7B4A" w:rsidP="00CE7B4A">
      <w:pPr>
        <w:pStyle w:val="Akapitzlist"/>
        <w:numPr>
          <w:ilvl w:val="0"/>
          <w:numId w:val="19"/>
        </w:numPr>
        <w:spacing w:after="160" w:line="259" w:lineRule="auto"/>
      </w:pPr>
      <w:r>
        <w:t>Przeprowadzenie szacowania wartości zamówienia dla przykładowego opisu przedmiotu zamówienia</w:t>
      </w:r>
    </w:p>
    <w:p w:rsidR="00CE7B4A" w:rsidRDefault="00CE7B4A" w:rsidP="00CE7B4A">
      <w:pPr>
        <w:pStyle w:val="Akapitzlist"/>
        <w:numPr>
          <w:ilvl w:val="0"/>
          <w:numId w:val="19"/>
        </w:numPr>
        <w:spacing w:after="160" w:line="259" w:lineRule="auto"/>
      </w:pPr>
      <w:r>
        <w:t>Zapoznanie z platformą e-zamówieni, analiza poszczególnych jej elementów i funkcji</w:t>
      </w:r>
    </w:p>
    <w:p w:rsidR="00CE7B4A" w:rsidRDefault="00CE7B4A" w:rsidP="00CE7B4A">
      <w:pPr>
        <w:pStyle w:val="Akapitzlist"/>
        <w:numPr>
          <w:ilvl w:val="0"/>
          <w:numId w:val="19"/>
        </w:numPr>
        <w:spacing w:after="160" w:line="259" w:lineRule="auto"/>
      </w:pPr>
      <w:r>
        <w:t>Rejestracja zamówienia na platformie e-zamówienia</w:t>
      </w:r>
    </w:p>
    <w:p w:rsidR="00CE7B4A" w:rsidRDefault="00CE7B4A" w:rsidP="00CE7B4A">
      <w:pPr>
        <w:pStyle w:val="Akapitzlist"/>
        <w:numPr>
          <w:ilvl w:val="0"/>
          <w:numId w:val="19"/>
        </w:numPr>
        <w:spacing w:after="160" w:line="259" w:lineRule="auto"/>
      </w:pPr>
      <w:r>
        <w:t>Modyfikacja planu zamówień</w:t>
      </w:r>
    </w:p>
    <w:p w:rsidR="00CE7B4A" w:rsidRDefault="00CE7B4A" w:rsidP="00CE7B4A">
      <w:pPr>
        <w:pStyle w:val="Akapitzlist"/>
        <w:numPr>
          <w:ilvl w:val="0"/>
          <w:numId w:val="19"/>
        </w:numPr>
        <w:spacing w:after="160" w:line="259" w:lineRule="auto"/>
      </w:pPr>
      <w:r>
        <w:t>Analiza dokumentacji przetargowej wskazanej przez uczestników warsztatów</w:t>
      </w:r>
    </w:p>
    <w:p w:rsidR="00CE7B4A" w:rsidRDefault="00CE7B4A" w:rsidP="00CE7B4A">
      <w:pPr>
        <w:pStyle w:val="Akapitzlist"/>
        <w:numPr>
          <w:ilvl w:val="0"/>
          <w:numId w:val="19"/>
        </w:numPr>
        <w:spacing w:after="160" w:line="259" w:lineRule="auto"/>
      </w:pPr>
      <w:r>
        <w:t>Przygotowanie przykładowych dokumentów przez uczestników: oświadczenie o bezstronności, wezwanie do wyjaśnienia Rażąco niskiej ceny, odpowiedź na pytania wykonawcy, informacja z otwarcia ofert, informacja o wyborze oferty, rekomendacja wyboru wykonawcy złożona do kierownika Zamawiającego.</w:t>
      </w:r>
    </w:p>
    <w:p w:rsidR="00CE7B4A" w:rsidRDefault="00CE7B4A" w:rsidP="00CE7B4A">
      <w:r>
        <w:t xml:space="preserve">Moduł II Zapytanie ofertowe, Baza konkurencyjności, Regulamin udzielania zamówień w Uczelniach Wyższych, taryfikator, pomoc publiczna </w:t>
      </w:r>
      <w:r w:rsidRPr="00C01FE4">
        <w:t>projektach finansowanych ze środków unijnych</w:t>
      </w:r>
      <w:r>
        <w:t xml:space="preserve">. </w:t>
      </w:r>
    </w:p>
    <w:p w:rsidR="00CE7B4A" w:rsidRDefault="00CE7B4A" w:rsidP="00CE7B4A">
      <w:r>
        <w:t>1. Podstawa prawna</w:t>
      </w:r>
    </w:p>
    <w:p w:rsidR="00CE7B4A" w:rsidRDefault="00CE7B4A" w:rsidP="00CE7B4A">
      <w:r>
        <w:t>- Prawo unijne</w:t>
      </w:r>
    </w:p>
    <w:p w:rsidR="00CE7B4A" w:rsidRDefault="00CE7B4A" w:rsidP="00CE7B4A">
      <w:r>
        <w:t>- Prawo polskie</w:t>
      </w:r>
    </w:p>
    <w:p w:rsidR="00CE7B4A" w:rsidRDefault="00CE7B4A" w:rsidP="00CE7B4A">
      <w:r>
        <w:lastRenderedPageBreak/>
        <w:t>2. Kodeks Cywilny</w:t>
      </w:r>
    </w:p>
    <w:p w:rsidR="00CE7B4A" w:rsidRDefault="00CE7B4A" w:rsidP="00CE7B4A">
      <w:r>
        <w:t>3. Wytyczne</w:t>
      </w:r>
    </w:p>
    <w:p w:rsidR="00CE7B4A" w:rsidRDefault="00CE7B4A" w:rsidP="00CE7B4A">
      <w:r>
        <w:t>4. Statut jednostki Zamawiającego</w:t>
      </w:r>
    </w:p>
    <w:p w:rsidR="00CE7B4A" w:rsidRDefault="00CE7B4A" w:rsidP="00CE7B4A">
      <w:r>
        <w:t>5. Charakterystyka Uczelni Wyższej jako instytucji Zamawiającego</w:t>
      </w:r>
    </w:p>
    <w:p w:rsidR="00CE7B4A" w:rsidRDefault="00CE7B4A" w:rsidP="00CE7B4A">
      <w:r>
        <w:t>6. Zamówienia o wartości poniżej 130 000 złotych</w:t>
      </w:r>
    </w:p>
    <w:p w:rsidR="00CE7B4A" w:rsidRDefault="00CE7B4A" w:rsidP="00CE7B4A">
      <w:r>
        <w:t>- Podstawa prawna regulaminu</w:t>
      </w:r>
    </w:p>
    <w:p w:rsidR="00CE7B4A" w:rsidRDefault="00CE7B4A" w:rsidP="00CE7B4A">
      <w:r>
        <w:t>- Regulamin – podstawowe elementy</w:t>
      </w:r>
    </w:p>
    <w:p w:rsidR="00CE7B4A" w:rsidRDefault="00CE7B4A" w:rsidP="00CE7B4A">
      <w:r>
        <w:t>- Odpowiedzialność pracowników określona w regulaminie</w:t>
      </w:r>
    </w:p>
    <w:p w:rsidR="00CE7B4A" w:rsidRDefault="00CE7B4A" w:rsidP="00CE7B4A">
      <w:r>
        <w:t>- Zasady wyboru wykonawcy</w:t>
      </w:r>
    </w:p>
    <w:p w:rsidR="00CE7B4A" w:rsidRDefault="00CE7B4A" w:rsidP="00CE7B4A">
      <w:r>
        <w:t>- Progi w regulaminie i wynikające z nich obowiązki</w:t>
      </w:r>
    </w:p>
    <w:p w:rsidR="00CE7B4A" w:rsidRDefault="00CE7B4A" w:rsidP="00CE7B4A">
      <w:r>
        <w:t>- Rejestr „małych zamówień”</w:t>
      </w:r>
    </w:p>
    <w:p w:rsidR="00CE7B4A" w:rsidRDefault="00CE7B4A" w:rsidP="00CE7B4A">
      <w:r>
        <w:t>- Obieg dokumentów przed wszczęciem postepowania</w:t>
      </w:r>
    </w:p>
    <w:p w:rsidR="00CE7B4A" w:rsidRDefault="00CE7B4A" w:rsidP="00CE7B4A">
      <w:r>
        <w:t>- Podział zamówienia</w:t>
      </w:r>
    </w:p>
    <w:p w:rsidR="00CE7B4A" w:rsidRDefault="00CE7B4A" w:rsidP="00CE7B4A">
      <w:r>
        <w:t>- Tożsamość zamówień</w:t>
      </w:r>
    </w:p>
    <w:p w:rsidR="00CE7B4A" w:rsidRDefault="00CE7B4A" w:rsidP="00CE7B4A">
      <w:r>
        <w:t>- Umowy w zamówieniach o wartości do 130 000 zł</w:t>
      </w:r>
    </w:p>
    <w:p w:rsidR="00CE7B4A" w:rsidRDefault="00CE7B4A" w:rsidP="00CE7B4A">
      <w:r>
        <w:t>7. Wpływ dofinansowania ze Środków unijnych na sposób stosowania regulaminu</w:t>
      </w:r>
    </w:p>
    <w:p w:rsidR="00CE7B4A" w:rsidRDefault="00CE7B4A" w:rsidP="00CE7B4A">
      <w:r>
        <w:t>8. Zapytanie ofertowe – elementy wymagalne i elementy dobrowolne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Elementy ustawy Prawo zamówień publicznych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Zasada konkurencyjności w Regulaminie wewnętrznym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Obieg dokumentów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Opis przedmiotu zamówienia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Szacowanie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Rozeznanie rynku – przykłady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Warunki udziału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Możliwości wykluczenia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Terminy dla Zasady Konkurencyjności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Zapisy unieważniające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Procedura w kilku krokach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Kryteria wyboru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Wybór wykonawcy</w:t>
      </w:r>
    </w:p>
    <w:p w:rsidR="00CE7B4A" w:rsidRDefault="00CE7B4A" w:rsidP="00CE7B4A">
      <w:pPr>
        <w:pStyle w:val="Akapitzlist"/>
        <w:numPr>
          <w:ilvl w:val="0"/>
          <w:numId w:val="20"/>
        </w:numPr>
        <w:spacing w:after="160" w:line="259" w:lineRule="auto"/>
      </w:pPr>
      <w:r>
        <w:t>Umowa lub jej brak</w:t>
      </w:r>
    </w:p>
    <w:p w:rsidR="00CE7B4A" w:rsidRDefault="00CE7B4A" w:rsidP="00CE7B4A">
      <w:r>
        <w:t xml:space="preserve">9. </w:t>
      </w:r>
      <w:r w:rsidRPr="00292274">
        <w:t>Baza konkurencyjności w perspektywie finansowej 2021-2027</w:t>
      </w:r>
    </w:p>
    <w:p w:rsidR="00CE7B4A" w:rsidRDefault="00CE7B4A" w:rsidP="00CE7B4A">
      <w:pPr>
        <w:pStyle w:val="Akapitzlist"/>
        <w:numPr>
          <w:ilvl w:val="0"/>
          <w:numId w:val="21"/>
        </w:numPr>
        <w:spacing w:after="160" w:line="259" w:lineRule="auto"/>
      </w:pPr>
      <w:r>
        <w:t>Zapoznanie z platformą</w:t>
      </w:r>
    </w:p>
    <w:p w:rsidR="00CE7B4A" w:rsidRDefault="00CE7B4A" w:rsidP="00CE7B4A">
      <w:pPr>
        <w:pStyle w:val="Akapitzlist"/>
        <w:numPr>
          <w:ilvl w:val="0"/>
          <w:numId w:val="21"/>
        </w:numPr>
        <w:spacing w:after="160" w:line="259" w:lineRule="auto"/>
      </w:pPr>
      <w:r>
        <w:t>Rejestracja</w:t>
      </w:r>
    </w:p>
    <w:p w:rsidR="00CE7B4A" w:rsidRDefault="00CE7B4A" w:rsidP="00CE7B4A">
      <w:pPr>
        <w:pStyle w:val="Akapitzlist"/>
        <w:numPr>
          <w:ilvl w:val="0"/>
          <w:numId w:val="21"/>
        </w:numPr>
        <w:spacing w:after="160" w:line="259" w:lineRule="auto"/>
      </w:pPr>
      <w:r>
        <w:lastRenderedPageBreak/>
        <w:t>Zamieszczanie ogłoszeń</w:t>
      </w:r>
    </w:p>
    <w:p w:rsidR="00CE7B4A" w:rsidRDefault="00CE7B4A" w:rsidP="00CE7B4A">
      <w:pPr>
        <w:pStyle w:val="Akapitzlist"/>
        <w:numPr>
          <w:ilvl w:val="0"/>
          <w:numId w:val="21"/>
        </w:numPr>
        <w:spacing w:after="160" w:line="259" w:lineRule="auto"/>
      </w:pPr>
      <w:r>
        <w:t>Terminy</w:t>
      </w:r>
    </w:p>
    <w:p w:rsidR="00CE7B4A" w:rsidRDefault="00CE7B4A" w:rsidP="00CE7B4A">
      <w:pPr>
        <w:pStyle w:val="Akapitzlist"/>
        <w:numPr>
          <w:ilvl w:val="0"/>
          <w:numId w:val="21"/>
        </w:numPr>
        <w:spacing w:after="160" w:line="259" w:lineRule="auto"/>
      </w:pPr>
      <w:r>
        <w:t>Zmiana Zapytania ofertowego</w:t>
      </w:r>
    </w:p>
    <w:p w:rsidR="00CE7B4A" w:rsidRDefault="00CE7B4A" w:rsidP="00CE7B4A">
      <w:pPr>
        <w:pStyle w:val="Akapitzlist"/>
        <w:numPr>
          <w:ilvl w:val="0"/>
          <w:numId w:val="21"/>
        </w:numPr>
        <w:spacing w:after="160" w:line="259" w:lineRule="auto"/>
      </w:pPr>
      <w:r>
        <w:t>Komunikacja.</w:t>
      </w:r>
    </w:p>
    <w:p w:rsidR="00CE7B4A" w:rsidRDefault="00CE7B4A" w:rsidP="00CE7B4A">
      <w:r>
        <w:t>10. Taryfikator</w:t>
      </w:r>
    </w:p>
    <w:p w:rsidR="00CE7B4A" w:rsidRDefault="00CE7B4A" w:rsidP="00CE7B4A">
      <w:r>
        <w:t>11. Podstawa prawna nakładania korekty finansowej</w:t>
      </w:r>
    </w:p>
    <w:p w:rsidR="00CE7B4A" w:rsidRDefault="00CE7B4A" w:rsidP="00CE7B4A">
      <w:r>
        <w:t>12. Metody wyliczenia straty</w:t>
      </w:r>
    </w:p>
    <w:p w:rsidR="00CE7B4A" w:rsidRDefault="00CE7B4A" w:rsidP="00CE7B4A">
      <w:pPr>
        <w:pStyle w:val="Akapitzlist"/>
        <w:numPr>
          <w:ilvl w:val="0"/>
          <w:numId w:val="22"/>
        </w:numPr>
        <w:spacing w:after="160" w:line="259" w:lineRule="auto"/>
      </w:pPr>
      <w:r>
        <w:t>Metoda dyferencyjne</w:t>
      </w:r>
    </w:p>
    <w:p w:rsidR="00CE7B4A" w:rsidRDefault="00CE7B4A" w:rsidP="00CE7B4A">
      <w:pPr>
        <w:pStyle w:val="Akapitzlist"/>
        <w:numPr>
          <w:ilvl w:val="0"/>
          <w:numId w:val="22"/>
        </w:numPr>
        <w:spacing w:after="160" w:line="259" w:lineRule="auto"/>
      </w:pPr>
      <w:r>
        <w:t>Metoda wskaźnikowa</w:t>
      </w:r>
    </w:p>
    <w:p w:rsidR="00CE7B4A" w:rsidRDefault="00CE7B4A" w:rsidP="00CE7B4A">
      <w:r>
        <w:t>13. Taryfikator – działy</w:t>
      </w:r>
    </w:p>
    <w:p w:rsidR="00CE7B4A" w:rsidRDefault="00CE7B4A" w:rsidP="00CE7B4A">
      <w:r>
        <w:t>14 Najczęstsze naruszenia</w:t>
      </w:r>
    </w:p>
    <w:p w:rsidR="00CE7B4A" w:rsidRDefault="00CE7B4A" w:rsidP="00CE7B4A">
      <w:r>
        <w:t>15. Naruszenia skutkujące korektą 100 %</w:t>
      </w:r>
    </w:p>
    <w:p w:rsidR="00CE7B4A" w:rsidRDefault="00CE7B4A" w:rsidP="00CE7B4A">
      <w:r>
        <w:t>16. Ścieżka odwoławcza</w:t>
      </w:r>
    </w:p>
    <w:p w:rsidR="00CE7B4A" w:rsidRDefault="00CE7B4A" w:rsidP="00CE7B4A">
      <w:r>
        <w:t xml:space="preserve">17. Pomoc publiczna </w:t>
      </w:r>
      <w:r w:rsidRPr="00C01FE4">
        <w:t>w projektach finansowanych ze środków unijnych</w:t>
      </w:r>
    </w:p>
    <w:p w:rsidR="00CE7B4A" w:rsidRDefault="00CE7B4A" w:rsidP="00CE7B4A">
      <w:r>
        <w:t xml:space="preserve">18. Pomoc publiczna a pomoc de </w:t>
      </w:r>
      <w:proofErr w:type="spellStart"/>
      <w:r>
        <w:t>minimis</w:t>
      </w:r>
      <w:proofErr w:type="spellEnd"/>
      <w:r>
        <w:t>;</w:t>
      </w:r>
    </w:p>
    <w:p w:rsidR="00CE7B4A" w:rsidRDefault="00CE7B4A" w:rsidP="00CE7B4A">
      <w:r>
        <w:t>- definicja pomocy publicznej</w:t>
      </w:r>
    </w:p>
    <w:p w:rsidR="00CE7B4A" w:rsidRDefault="00CE7B4A" w:rsidP="00CE7B4A">
      <w:r>
        <w:t xml:space="preserve">- definicja pomocy de </w:t>
      </w:r>
      <w:proofErr w:type="spellStart"/>
      <w:r>
        <w:t>minimis</w:t>
      </w:r>
      <w:proofErr w:type="spellEnd"/>
    </w:p>
    <w:p w:rsidR="00CE7B4A" w:rsidRDefault="00CE7B4A" w:rsidP="00CE7B4A">
      <w:r>
        <w:t>- swoboda konkurencji w projektach unijnych</w:t>
      </w:r>
    </w:p>
    <w:p w:rsidR="00CE7B4A" w:rsidRDefault="00CE7B4A" w:rsidP="00CE7B4A">
      <w:r>
        <w:t xml:space="preserve">- pomoc de </w:t>
      </w:r>
      <w:proofErr w:type="spellStart"/>
      <w:r>
        <w:t>minimis</w:t>
      </w:r>
      <w:proofErr w:type="spellEnd"/>
      <w:r>
        <w:t xml:space="preserve"> - przeznaczenie</w:t>
      </w:r>
    </w:p>
    <w:p w:rsidR="00CE7B4A" w:rsidRDefault="00CE7B4A" w:rsidP="00CE7B4A">
      <w:r>
        <w:t xml:space="preserve">19. Kto może ubiegać się o pomoc publiczną/pomoc de </w:t>
      </w:r>
      <w:proofErr w:type="spellStart"/>
      <w:r>
        <w:t>minimis</w:t>
      </w:r>
      <w:proofErr w:type="spellEnd"/>
      <w:r>
        <w:t>;</w:t>
      </w:r>
    </w:p>
    <w:p w:rsidR="00CE7B4A" w:rsidRDefault="00CE7B4A" w:rsidP="00CE7B4A">
      <w:r>
        <w:t>20. Regionalna pomoc inwestycyjna;</w:t>
      </w:r>
    </w:p>
    <w:p w:rsidR="00CE7B4A" w:rsidRDefault="00CE7B4A" w:rsidP="00CE7B4A">
      <w:r>
        <w:t>21. Zmiany/różnice pomiędzy zasadami udzielania pomocy publicznej obowiązującymi w perspektywie 2014-2020 a 2021-2027;</w:t>
      </w:r>
    </w:p>
    <w:p w:rsidR="00CE7B4A" w:rsidRDefault="00CE7B4A" w:rsidP="00CE7B4A">
      <w:r>
        <w:t>22. Test pomocy publicznej w orzecznictwie Komisji i Trybunału Sprawiedliwości UE;</w:t>
      </w:r>
    </w:p>
    <w:p w:rsidR="00CE7B4A" w:rsidRDefault="00CE7B4A" w:rsidP="00CE7B4A">
      <w:r>
        <w:t>23. Dopuszczalność pomocy publicznej;</w:t>
      </w:r>
    </w:p>
    <w:p w:rsidR="00CE7B4A" w:rsidRDefault="00CE7B4A" w:rsidP="00CE7B4A">
      <w:r>
        <w:t>24. Występowanie pomocy publicznej;</w:t>
      </w:r>
    </w:p>
    <w:p w:rsidR="00CE7B4A" w:rsidRDefault="00CE7B4A" w:rsidP="00CE7B4A">
      <w:r>
        <w:t>25. Formy pomocy publicznej</w:t>
      </w:r>
    </w:p>
    <w:p w:rsidR="00CE7B4A" w:rsidRDefault="00CE7B4A" w:rsidP="00CE7B4A">
      <w:r>
        <w:t xml:space="preserve">26. Dyskusja,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study</w:t>
      </w:r>
      <w:proofErr w:type="spellEnd"/>
      <w:r>
        <w:t>, odpowiedzi na pytania.</w:t>
      </w:r>
    </w:p>
    <w:p w:rsidR="00CE7B4A" w:rsidRDefault="00CE7B4A" w:rsidP="00CE7B4A">
      <w:pPr>
        <w:pStyle w:val="Akapitzlist"/>
      </w:pPr>
      <w:r>
        <w:t>Część praktyczna:</w:t>
      </w:r>
    </w:p>
    <w:p w:rsidR="00CE7B4A" w:rsidRDefault="00CE7B4A" w:rsidP="00CE7B4A">
      <w:pPr>
        <w:pStyle w:val="Akapitzlist"/>
        <w:numPr>
          <w:ilvl w:val="0"/>
          <w:numId w:val="23"/>
        </w:numPr>
        <w:spacing w:after="160" w:line="259" w:lineRule="auto"/>
      </w:pPr>
      <w:r>
        <w:t>Przygotowanie wzoru zapytania ofertowego</w:t>
      </w:r>
    </w:p>
    <w:p w:rsidR="00CE7B4A" w:rsidRDefault="00CE7B4A" w:rsidP="00CE7B4A">
      <w:pPr>
        <w:pStyle w:val="Akapitzlist"/>
        <w:numPr>
          <w:ilvl w:val="0"/>
          <w:numId w:val="23"/>
        </w:numPr>
        <w:spacing w:after="160" w:line="259" w:lineRule="auto"/>
      </w:pPr>
      <w:r>
        <w:t>Przeprowadzenie przykładowego szacowania</w:t>
      </w:r>
    </w:p>
    <w:p w:rsidR="00CE7B4A" w:rsidRDefault="00CE7B4A" w:rsidP="00CE7B4A">
      <w:pPr>
        <w:pStyle w:val="Akapitzlist"/>
        <w:numPr>
          <w:ilvl w:val="0"/>
          <w:numId w:val="23"/>
        </w:numPr>
        <w:spacing w:after="160" w:line="259" w:lineRule="auto"/>
      </w:pPr>
      <w:r>
        <w:t>Pokaz rejestracji podmiotu w Bazie Konkurencyjności</w:t>
      </w:r>
    </w:p>
    <w:p w:rsidR="00CE7B4A" w:rsidRDefault="00CE7B4A" w:rsidP="00CE7B4A">
      <w:pPr>
        <w:pStyle w:val="Akapitzlist"/>
        <w:numPr>
          <w:ilvl w:val="0"/>
          <w:numId w:val="23"/>
        </w:numPr>
        <w:spacing w:after="160" w:line="259" w:lineRule="auto"/>
      </w:pPr>
      <w:r>
        <w:lastRenderedPageBreak/>
        <w:t xml:space="preserve">Zamieszczenie ogłoszenia w Bazie Konkurencyjności </w:t>
      </w:r>
    </w:p>
    <w:p w:rsidR="00CE7B4A" w:rsidRDefault="00CE7B4A" w:rsidP="00CE7B4A">
      <w:r>
        <w:t xml:space="preserve">Moduł III: Postepowania powyżej progu unijnego, umowa w Zamówieniach Publicznych, kontrola postępowań  o udzielenie zamówień publicznych. 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Przygotowanie i prowadzenie postępowania o udzielenie zamówienia publicznego powyżej progów UE.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 xml:space="preserve">Sporządzanie dokumentów niezbędnych do ogłoszenia lub zaproszenia do udziału  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 xml:space="preserve">w postępowaniu o udzielenie zamówienia publicznego, 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Prowadzenie przewidzianej ustawą dokumentacji czynności postępowania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Przygotowanie postępowania.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Wszczęcie  postępowania  przetargowego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Prowadzenie postępowania: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Etapy postępowanie,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Publikowanie,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Komunikacja z wykonawcą,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Wadium,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Wezwania i wyjaśnienia.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Podstawa prawna UZP Umowy</w:t>
      </w:r>
    </w:p>
    <w:p w:rsidR="00CE7B4A" w:rsidRDefault="00CE7B4A" w:rsidP="00CE7B4A">
      <w:pPr>
        <w:pStyle w:val="Akapitzlist"/>
        <w:ind w:left="709"/>
      </w:pPr>
      <w:r>
        <w:t>Podstawa prawna Kodeks Cywilny Umowy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Czynności dokonywane przed zawarciem umowy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Projekt umowy, istotne postanowienia umowy w Pzp,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Wykonawca  działający w konsorcjum a umowa o zamówienie publiczne w Pzp,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Umowa ramowa a umowa „klasyczna” w zamówieniach publicznych,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Wymagane ustawą elementy umowy na dostawę,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Wymagane ustawą elementy umowy na usługę,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Wymagane ustawą elementy umowy o roboty budowlane,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Klauzule społeczne w umowie o zamówienie publiczne,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Negocjowanie ostatecznych warunków umowy,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Proceduralne warunki zawarcia umowy (art. 577-578 Pzp),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Środki ochrony prawnej na projektowane postanowienia umowne,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Zmiana umowy – przesłanki do zmiany istotnej, zmiana nieistotna (podstawy i warunki zmiany, forma),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Przykłady wzorców w umowach, dotyczące prawidłowo  przewidzianych zmian o charakterze istotnym,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Regulowanie wynagrodzenia wykonawcy w umowie w świetle Pzp,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Odpowiedzialność wykonawcy za nienależyte wykonanie umowy, przesłanki uwolnienia wykonawcy od odpowiedzialności kontraktowej, niewykonanie a nienależyte wykonanie umowy,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Kary umowne wobec wykonawcy – ich dopuszczalność, zasady ich nakładania, miarkowania, kumulacja, odstąpienia od nałożenia kary umownej, ustalanie wysokości kary umownej adekwatnie do przedmiotu zamówienia i warunków realizacji umowy,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Klauzule waloryzacyjne w umowie o udzielenie zamówienia, w tym obligatoryjne,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Obowiązki zamawiającego wynikające z zawartej umowy (w szczególności obowiązek współdziałania, obowiązek przystąpienia do odbioru przedmiotu zamówienia),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lastRenderedPageBreak/>
        <w:t>Gwarancja i rękojmia za wady, wady istotne a nieistotne, w szczególności przy dostawie i usłudze,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Potwierdzenie należytego wykonania umowy (znaczenie protokołu odbioru, rozbieżność stanowisk zamawiającego i wykonawcy w przedmiocie oceny należytego wykonania umowy),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Ustalanie wynagrodzenia (metoda kosztorysowa, metoda ryczałtowa),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Solidarna odpowiedzialność zamawiającego i wykonawcy za zapłatę wynagrodzenia podwykonawcom w przypadku robót budowlanych,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Potrącenie należnej kary umownej z wynagrodzenia wykonawcy, regulacje w czasie obowiązywania stanu epidemii COVID – 19,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Dochodzenie odszkodowania przewyższającego zastrzeżone kary umowne (przesłanki dochodzenia),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Odstąpienie, rozwiązanie, wypowiedzenie umowy, skutki prawne odstąpienia, odstąpienie a rozwiązanie umowy w przypadku niewywiązywania się przez wykonawcy z postanowień umowy, jak ująć w prawidłowy sposób powyższe zagadnienia w umowie,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Zamówienia dodatkowe i uzupełniające (kiedy są dopuszczalne, na jakich warunkach)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 xml:space="preserve">Kontrola </w:t>
      </w:r>
      <w:r w:rsidRPr="003E1E2D">
        <w:t>postępowań  o udzielenie zamówień publicznych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Instytucje kontrolujące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Zasady informowania o kontroli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Uprawnienia kontrolera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Upoważnieni do kontroli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Informacja pokontrolna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>
        <w:t>Ścieżka odwoławcza od wyniku kontroli.</w:t>
      </w:r>
    </w:p>
    <w:p w:rsidR="00CE7B4A" w:rsidRDefault="00CE7B4A" w:rsidP="00CE7B4A">
      <w:pPr>
        <w:pStyle w:val="Akapitzlist"/>
        <w:numPr>
          <w:ilvl w:val="0"/>
          <w:numId w:val="24"/>
        </w:numPr>
        <w:spacing w:after="160" w:line="259" w:lineRule="auto"/>
        <w:ind w:left="709"/>
      </w:pPr>
      <w:r w:rsidRPr="006520BD">
        <w:t xml:space="preserve">Dyskusja, </w:t>
      </w:r>
      <w:proofErr w:type="spellStart"/>
      <w:r w:rsidRPr="006520BD">
        <w:t>case</w:t>
      </w:r>
      <w:proofErr w:type="spellEnd"/>
      <w:r w:rsidRPr="006520BD">
        <w:t xml:space="preserve"> </w:t>
      </w:r>
      <w:proofErr w:type="spellStart"/>
      <w:r w:rsidRPr="006520BD">
        <w:t>study</w:t>
      </w:r>
      <w:proofErr w:type="spellEnd"/>
      <w:r w:rsidRPr="006520BD">
        <w:t>, odpowiedzi na pytania.</w:t>
      </w:r>
      <w:r>
        <w:t xml:space="preserve"> </w:t>
      </w:r>
    </w:p>
    <w:p w:rsidR="00CE7B4A" w:rsidRDefault="00CE7B4A" w:rsidP="00CE7B4A">
      <w:r>
        <w:t>Część praktyczna:</w:t>
      </w:r>
    </w:p>
    <w:p w:rsidR="00CE7B4A" w:rsidRDefault="00CE7B4A" w:rsidP="00CE7B4A">
      <w:pPr>
        <w:pStyle w:val="Akapitzlist"/>
        <w:numPr>
          <w:ilvl w:val="0"/>
          <w:numId w:val="25"/>
        </w:numPr>
        <w:spacing w:after="160" w:line="259" w:lineRule="auto"/>
      </w:pPr>
      <w:r>
        <w:t>Zapoznanie z platformą Dziennika Urzędowego Unii Europejskiej</w:t>
      </w:r>
    </w:p>
    <w:p w:rsidR="00CE7B4A" w:rsidRDefault="00CE7B4A" w:rsidP="00CE7B4A">
      <w:pPr>
        <w:pStyle w:val="Akapitzlist"/>
        <w:numPr>
          <w:ilvl w:val="0"/>
          <w:numId w:val="25"/>
        </w:numPr>
        <w:spacing w:after="160" w:line="259" w:lineRule="auto"/>
      </w:pPr>
      <w:r>
        <w:t>Wypełnienie Jednolitego Europejskiego Dokumentu Zamówienia</w:t>
      </w:r>
    </w:p>
    <w:p w:rsidR="00CE7B4A" w:rsidRDefault="00CE7B4A" w:rsidP="00CE7B4A">
      <w:pPr>
        <w:pStyle w:val="Akapitzlist"/>
        <w:numPr>
          <w:ilvl w:val="0"/>
          <w:numId w:val="25"/>
        </w:numPr>
        <w:spacing w:after="160" w:line="259" w:lineRule="auto"/>
      </w:pPr>
      <w:r>
        <w:t>Przygotowanie wniosku o publikację ogłoszenia</w:t>
      </w:r>
    </w:p>
    <w:p w:rsidR="00CE7B4A" w:rsidRDefault="00CE7B4A" w:rsidP="00CE7B4A">
      <w:pPr>
        <w:pStyle w:val="Akapitzlist"/>
        <w:numPr>
          <w:ilvl w:val="0"/>
          <w:numId w:val="25"/>
        </w:numPr>
        <w:spacing w:after="160" w:line="259" w:lineRule="auto"/>
      </w:pPr>
      <w:r>
        <w:t>Przygotowanie wzoru umowy</w:t>
      </w:r>
    </w:p>
    <w:p w:rsidR="00CE7B4A" w:rsidRPr="00637C24" w:rsidRDefault="00CE7B4A" w:rsidP="00CE7B4A">
      <w:pPr>
        <w:rPr>
          <w:b/>
        </w:rPr>
      </w:pPr>
      <w:r w:rsidRPr="00637C24">
        <w:rPr>
          <w:b/>
        </w:rPr>
        <w:t xml:space="preserve">Termin wykonania zamówienia. </w:t>
      </w:r>
    </w:p>
    <w:p w:rsidR="00CE7B4A" w:rsidRDefault="00CE7B4A" w:rsidP="00CE7B4A">
      <w:pPr>
        <w:pStyle w:val="Akapitzlist"/>
        <w:numPr>
          <w:ilvl w:val="0"/>
          <w:numId w:val="26"/>
        </w:numPr>
        <w:spacing w:after="160" w:line="259" w:lineRule="auto"/>
      </w:pPr>
      <w:r>
        <w:t xml:space="preserve">Szkolenie (tj. wszystkie 3 moduły) zostanie zrealizowane w terminie do 6 miesięcy </w:t>
      </w:r>
    </w:p>
    <w:p w:rsidR="00CE7B4A" w:rsidRDefault="00CE7B4A" w:rsidP="00CE7B4A">
      <w:r>
        <w:t>od dnia udzielenia zamówienia, tj. zawarcia umowy.</w:t>
      </w:r>
    </w:p>
    <w:p w:rsidR="00CE7B4A" w:rsidRDefault="00CE7B4A" w:rsidP="00CE7B4A">
      <w:pPr>
        <w:pStyle w:val="Akapitzlist"/>
        <w:numPr>
          <w:ilvl w:val="0"/>
          <w:numId w:val="26"/>
        </w:numPr>
        <w:spacing w:after="160" w:line="259" w:lineRule="auto"/>
      </w:pPr>
      <w:r>
        <w:t xml:space="preserve">Dokładne terminy i dzienny harmonogram poszczególnych edycji szkolenia zostaną uzgodnione  w terminie do 14 dni od dnia udzielenia zamówienia, tj. zawarcia umowy. </w:t>
      </w:r>
    </w:p>
    <w:p w:rsidR="00CE7B4A" w:rsidRDefault="00CE7B4A" w:rsidP="00CE7B4A">
      <w:pPr>
        <w:pStyle w:val="Akapitzlist"/>
        <w:numPr>
          <w:ilvl w:val="0"/>
          <w:numId w:val="26"/>
        </w:numPr>
        <w:spacing w:after="160" w:line="259" w:lineRule="auto"/>
      </w:pPr>
      <w:r>
        <w:t>Czas trwania każdej modułu wynosi 5 dni po  6 godzin dydaktycznych (1 godzina dydaktyczna</w:t>
      </w:r>
    </w:p>
    <w:p w:rsidR="00CE7B4A" w:rsidRDefault="00CE7B4A" w:rsidP="00CE7B4A">
      <w:r>
        <w:t xml:space="preserve">= 45 minutom) w każdym dniu, tj. łączny wymiar czasowy trzech modułów wynosi:  180 godzin dydaktycznych.  </w:t>
      </w:r>
    </w:p>
    <w:p w:rsidR="00CE7B4A" w:rsidRDefault="00CE7B4A" w:rsidP="00CE7B4A"/>
    <w:p w:rsidR="00CE7B4A" w:rsidRPr="00637C24" w:rsidRDefault="00CE7B4A" w:rsidP="00CE7B4A">
      <w:pPr>
        <w:rPr>
          <w:b/>
        </w:rPr>
      </w:pPr>
      <w:r w:rsidRPr="00637C24">
        <w:rPr>
          <w:b/>
        </w:rPr>
        <w:t>Opis warunków podmiotowych udziału w postępowaniu.</w:t>
      </w:r>
    </w:p>
    <w:p w:rsidR="00CE7B4A" w:rsidRDefault="00CE7B4A" w:rsidP="00CE7B4A">
      <w:r>
        <w:t>1.</w:t>
      </w:r>
      <w:r>
        <w:tab/>
        <w:t xml:space="preserve">Zdolność do występowania w obrocie gospodarczym – zamawiający nie wyznacza warunku </w:t>
      </w:r>
    </w:p>
    <w:p w:rsidR="00CE7B4A" w:rsidRDefault="00CE7B4A" w:rsidP="00CE7B4A">
      <w:r>
        <w:lastRenderedPageBreak/>
        <w:t>w tym zakresie.</w:t>
      </w:r>
    </w:p>
    <w:p w:rsidR="00CE7B4A" w:rsidRDefault="00CE7B4A" w:rsidP="00CE7B4A">
      <w:r>
        <w:t>2.</w:t>
      </w:r>
      <w:r>
        <w:tab/>
        <w:t xml:space="preserve">Uprawnienia do prowadzenia określonej działalności gospodarczej lub zawodowej, </w:t>
      </w:r>
    </w:p>
    <w:p w:rsidR="00CE7B4A" w:rsidRDefault="00CE7B4A" w:rsidP="00CE7B4A">
      <w:r>
        <w:t>o ile wynika to z odrębnych przepisów – zamawiający nie wyznacza warunku w tym zakresie.</w:t>
      </w:r>
    </w:p>
    <w:p w:rsidR="00CE7B4A" w:rsidRDefault="00CE7B4A" w:rsidP="00CE7B4A">
      <w:r>
        <w:t>3.</w:t>
      </w:r>
      <w:r>
        <w:tab/>
        <w:t>Sytuacja ekonomiczna lub finansowa – zamawiający nie ustanawia warunku w tym zakresie.</w:t>
      </w:r>
    </w:p>
    <w:p w:rsidR="00CE7B4A" w:rsidRDefault="00CE7B4A" w:rsidP="00CE7B4A">
      <w:r>
        <w:t>4.</w:t>
      </w:r>
      <w:r>
        <w:tab/>
        <w:t>Zdolność techniczna lub zawodowa – o udzielenie zamówienia mogą ubiegać się wykonawcy, którzy posiadają niezbędną wiedzę i doświadczenie oraz wykażą, że:</w:t>
      </w:r>
    </w:p>
    <w:p w:rsidR="00CE7B4A" w:rsidRDefault="00CE7B4A" w:rsidP="00CE7B4A">
      <w:r>
        <w:t>4.1</w:t>
      </w:r>
      <w:r>
        <w:tab/>
        <w:t>posiadają odpowiednie doświadczenie, tj. w ciągu ostatnich 3 lat przed upływem terminu składania ofert, a jeżeli okres prowadzenia działalności jest krótszy - w tym okresie, zrealizowali lub realizują co najmniej dwa szkolenia dla jednostek publicznych w zakresie zamówień publicznych obejmujące swoim zakresem zamówienia krajowe, unijne, zamówienia zwolnione ze stosowania ustawy oraz naruszenia ustawy.</w:t>
      </w:r>
    </w:p>
    <w:p w:rsidR="00CE7B4A" w:rsidRDefault="00CE7B4A" w:rsidP="00CE7B4A">
      <w:r>
        <w:t>4.2</w:t>
      </w:r>
      <w:r>
        <w:tab/>
        <w:t xml:space="preserve">dysponują lub będą dysponować osobą/osobami zdolnymi do realizacji przedmiotu zamówienia (trenerem/trenerami), tj. 1 (jedną) osobą (trenerem) posiadającą: </w:t>
      </w:r>
    </w:p>
    <w:p w:rsidR="00CE7B4A" w:rsidRDefault="00CE7B4A" w:rsidP="00CE7B4A">
      <w:r>
        <w:t>1)</w:t>
      </w:r>
      <w:r>
        <w:tab/>
        <w:t>wykształcenie wyższe, minimum magisterskie,</w:t>
      </w:r>
    </w:p>
    <w:p w:rsidR="00CE7B4A" w:rsidRDefault="00CE7B4A" w:rsidP="00CE7B4A">
      <w:r>
        <w:t>2)</w:t>
      </w:r>
      <w:r>
        <w:tab/>
        <w:t xml:space="preserve">doświadczenie w prowadzeniu szkolenia/szkoleń w wymiarze: </w:t>
      </w:r>
    </w:p>
    <w:p w:rsidR="00CE7B4A" w:rsidRDefault="00CE7B4A" w:rsidP="00CE7B4A">
      <w:r>
        <w:t>1 szkolenie w zakresie szkolenia obejmujące swoim zakresem tematykę procedur udzielania zamówień publicznych na podstawie ustawy Prawo Zamówień Publicznych,</w:t>
      </w:r>
    </w:p>
    <w:p w:rsidR="00CE7B4A" w:rsidRDefault="00CE7B4A" w:rsidP="00CE7B4A">
      <w:r>
        <w:t xml:space="preserve">1 szkolenie obejmujące swoim zakresem tematykę kontroli zamówień publicznych </w:t>
      </w:r>
    </w:p>
    <w:p w:rsidR="00CE7B4A" w:rsidRDefault="00CE7B4A" w:rsidP="00CE7B4A">
      <w:r>
        <w:t>1 szkolenie obejmujące swoim zakresem korekty finansowe i taryfikator</w:t>
      </w:r>
    </w:p>
    <w:p w:rsidR="00CE7B4A" w:rsidRDefault="00CE7B4A" w:rsidP="00CE7B4A">
      <w:r>
        <w:t>1 szkolenie  obejmujące swoim zakresem zawieranie umów w zamówieniach publicznych</w:t>
      </w:r>
    </w:p>
    <w:p w:rsidR="00CE7B4A" w:rsidRDefault="00CE7B4A" w:rsidP="00CE7B4A">
      <w:r>
        <w:t>1 szkolenie  obejmujące swoim zakresem postepowania o wartości szacunkowej poniżej 130 tys. złotych,</w:t>
      </w:r>
    </w:p>
    <w:p w:rsidR="00CE7B4A" w:rsidRDefault="00CE7B4A" w:rsidP="00CE7B4A">
      <w:r>
        <w:t xml:space="preserve">1 szkolenie </w:t>
      </w:r>
      <w:r w:rsidRPr="00637C24">
        <w:t>obejmujące swoim zakresem</w:t>
      </w:r>
      <w:r>
        <w:t xml:space="preserve"> pomoc publiczną</w:t>
      </w:r>
    </w:p>
    <w:p w:rsidR="00CE7B4A" w:rsidRDefault="00CE7B4A" w:rsidP="00CE7B4A">
      <w:r>
        <w:t xml:space="preserve"> 3) </w:t>
      </w:r>
      <w:r w:rsidRPr="00C01FE4">
        <w:t>doświadczenie</w:t>
      </w:r>
      <w:r>
        <w:t xml:space="preserve"> praktyczne w zakresie przeprowadzania postępowań o udzielenie zamówień publicznych, kontroli postępowań zamówień publicznych w wymiarze:</w:t>
      </w:r>
    </w:p>
    <w:p w:rsidR="00CE7B4A" w:rsidRDefault="00CE7B4A" w:rsidP="00CE7B4A">
      <w:r>
        <w:t>- co najmniej 2 lat pracy w jednostce publicznej udzielającej zamówień publicznych na stanowisku związanych z przygotowywaniem i przeprowadzaniem zamówień publicznych,</w:t>
      </w:r>
    </w:p>
    <w:p w:rsidR="00CE7B4A" w:rsidRPr="00C01FE4" w:rsidRDefault="00CE7B4A" w:rsidP="00CE7B4A">
      <w:r>
        <w:t xml:space="preserve">- co najmniej 2 lata pracy w jednostce kontrolującej postępowania o udzielnie zamówień publicznych na stanowisku związanym bezpośrednio z realizacją czynności kontrolnych. </w:t>
      </w:r>
    </w:p>
    <w:p w:rsidR="00CE7B4A" w:rsidRDefault="00CE7B4A" w:rsidP="00CE7B4A">
      <w:r>
        <w:t>4.</w:t>
      </w:r>
      <w:r>
        <w:tab/>
        <w:t>Weryfikacji i oceny warunków udziału w postępowaniu zamawiający dokona na podstawie oświadczeń i dokumentów składanych przez uczestniczących w postępowaniu wykonawców z zachowaniem sposobu i formy, o których mowa w niniejszej SWZ.</w:t>
      </w:r>
    </w:p>
    <w:p w:rsidR="006D7678" w:rsidRDefault="006D7678" w:rsidP="006D7678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E27786" w:rsidRPr="00AB57BE" w:rsidRDefault="00E27786" w:rsidP="006D7678">
      <w:pPr>
        <w:spacing w:after="0" w:line="240" w:lineRule="auto"/>
        <w:jc w:val="right"/>
        <w:rPr>
          <w:rFonts w:ascii="Lato" w:hAnsi="Lato" w:cs="Lato"/>
        </w:rPr>
      </w:pPr>
    </w:p>
    <w:sectPr w:rsidR="00E27786" w:rsidRPr="00AB57BE" w:rsidSect="00F00B6D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E5D" w:rsidRDefault="005C2E5D" w:rsidP="00FF1B8F">
      <w:pPr>
        <w:spacing w:after="0" w:line="240" w:lineRule="auto"/>
      </w:pPr>
      <w:r>
        <w:separator/>
      </w:r>
    </w:p>
  </w:endnote>
  <w:endnote w:type="continuationSeparator" w:id="0">
    <w:p w:rsidR="005C2E5D" w:rsidRDefault="005C2E5D" w:rsidP="00FF1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CA7" w:rsidRDefault="00D52F45">
    <w:pPr>
      <w:pStyle w:val="Stopka"/>
    </w:pPr>
    <w:r>
      <w:rPr>
        <w:rFonts w:ascii="Times New Roman" w:hAnsi="Times New Roman" w:cs="Times New Roman"/>
        <w:b/>
        <w:bCs/>
        <w:noProof/>
        <w:sz w:val="20"/>
        <w:szCs w:val="20"/>
        <w:lang w:eastAsia="pl-PL"/>
      </w:rPr>
      <w:drawing>
        <wp:inline distT="0" distB="0" distL="0" distR="0">
          <wp:extent cx="5753100" cy="647700"/>
          <wp:effectExtent l="0" t="0" r="0" b="0"/>
          <wp:docPr id="2" name="Obraz 2" descr="logo stopka dol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topka dol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290" w:rsidRPr="00B32246" w:rsidRDefault="00D83086" w:rsidP="00724B55">
    <w:pPr>
      <w:pStyle w:val="Stopka"/>
    </w:pPr>
    <w:r>
      <w:rPr>
        <w:rFonts w:ascii="Times New Roman" w:hAnsi="Times New Roman" w:cs="Times New Roman"/>
        <w:b/>
        <w:bCs/>
        <w:sz w:val="20"/>
        <w:szCs w:val="20"/>
      </w:rPr>
      <w:tab/>
    </w:r>
    <w:r w:rsidR="00D52F45">
      <w:rPr>
        <w:rFonts w:ascii="Times New Roman" w:hAnsi="Times New Roman" w:cs="Times New Roman"/>
        <w:b/>
        <w:bCs/>
        <w:noProof/>
        <w:sz w:val="20"/>
        <w:szCs w:val="20"/>
        <w:lang w:eastAsia="pl-PL"/>
      </w:rPr>
      <w:drawing>
        <wp:inline distT="0" distB="0" distL="0" distR="0">
          <wp:extent cx="5753100" cy="647700"/>
          <wp:effectExtent l="0" t="0" r="0" b="0"/>
          <wp:docPr id="3" name="Obraz 3" descr="logo stopka dol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topka dol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bCs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E5D" w:rsidRDefault="005C2E5D" w:rsidP="00FF1B8F">
      <w:pPr>
        <w:spacing w:after="0" w:line="240" w:lineRule="auto"/>
      </w:pPr>
      <w:r>
        <w:separator/>
      </w:r>
    </w:p>
  </w:footnote>
  <w:footnote w:type="continuationSeparator" w:id="0">
    <w:p w:rsidR="005C2E5D" w:rsidRDefault="005C2E5D" w:rsidP="00FF1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3E7" w:rsidRDefault="00D52F45" w:rsidP="005B1CA7">
    <w:pPr>
      <w:pStyle w:val="Nagwek"/>
      <w:tabs>
        <w:tab w:val="clear" w:pos="4536"/>
        <w:tab w:val="center" w:pos="0"/>
      </w:tabs>
    </w:pPr>
    <w:r>
      <w:rPr>
        <w:rFonts w:ascii="Times New Roman" w:hAnsi="Times New Roman"/>
        <w:b/>
        <w:noProof/>
        <w:lang w:eastAsia="pl-PL"/>
      </w:rPr>
      <w:drawing>
        <wp:inline distT="0" distB="0" distL="0" distR="0">
          <wp:extent cx="5762625" cy="742950"/>
          <wp:effectExtent l="0" t="0" r="9525" b="0"/>
          <wp:docPr id="1" name="Obraz 1" descr="logo 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aglo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multilevel"/>
    <w:tmpl w:val="30940E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4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gwek2Noma"/>
      <w:lvlText w:val="%1.%2."/>
      <w:lvlJc w:val="left"/>
      <w:pPr>
        <w:ind w:left="1146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gwek3Noma"/>
      <w:isLgl/>
      <w:lvlText w:val="%1.%2.%3."/>
      <w:lvlJc w:val="left"/>
      <w:pPr>
        <w:ind w:left="1800" w:hanging="1080"/>
      </w:pPr>
      <w:rPr>
        <w:rFonts w:hint="default"/>
        <w:sz w:val="22"/>
      </w:rPr>
    </w:lvl>
    <w:lvl w:ilvl="3">
      <w:start w:val="1"/>
      <w:numFmt w:val="decimal"/>
      <w:pStyle w:val="Nagwek4Noma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pStyle w:val="Nagwek5Noma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pStyle w:val="Nagwek6Noma"/>
      <w:isLgl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" w15:restartNumberingAfterBreak="0">
    <w:nsid w:val="00000017"/>
    <w:multiLevelType w:val="multilevel"/>
    <w:tmpl w:val="8430B34E"/>
    <w:lvl w:ilvl="0">
      <w:start w:val="1"/>
      <w:numFmt w:val="decimal"/>
      <w:pStyle w:val="siwzpoziom3"/>
      <w:lvlText w:val="%1."/>
      <w:lvlJc w:val="left"/>
      <w:pPr>
        <w:tabs>
          <w:tab w:val="num" w:pos="284"/>
        </w:tabs>
        <w:ind w:left="567" w:hanging="28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 w:color="000000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2">
      <w:start w:val="1"/>
      <w:numFmt w:val="lowerLetter"/>
      <w:pStyle w:val="siwzpoziom3"/>
      <w:lvlText w:val="%3)"/>
      <w:lvlJc w:val="left"/>
      <w:pPr>
        <w:tabs>
          <w:tab w:val="num" w:pos="737"/>
        </w:tabs>
        <w:ind w:left="964" w:hanging="284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360"/>
        </w:tabs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"/>
        </w:tabs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</w:pPr>
      <w:rPr>
        <w:rFonts w:hint="default"/>
      </w:rPr>
    </w:lvl>
  </w:abstractNum>
  <w:abstractNum w:abstractNumId="2" w15:restartNumberingAfterBreak="0">
    <w:nsid w:val="00EE4C39"/>
    <w:multiLevelType w:val="hybridMultilevel"/>
    <w:tmpl w:val="C0AE5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37256"/>
    <w:multiLevelType w:val="hybridMultilevel"/>
    <w:tmpl w:val="2E524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C4D60"/>
    <w:multiLevelType w:val="multilevel"/>
    <w:tmpl w:val="D93C6E46"/>
    <w:lvl w:ilvl="0">
      <w:start w:val="1"/>
      <w:numFmt w:val="decimal"/>
      <w:suff w:val="nothing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551FED"/>
    <w:multiLevelType w:val="hybridMultilevel"/>
    <w:tmpl w:val="1B32D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10081"/>
    <w:multiLevelType w:val="hybridMultilevel"/>
    <w:tmpl w:val="E86E5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A3375"/>
    <w:multiLevelType w:val="hybridMultilevel"/>
    <w:tmpl w:val="BA0A9DB2"/>
    <w:lvl w:ilvl="0" w:tplc="2B80164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A010E"/>
    <w:multiLevelType w:val="hybridMultilevel"/>
    <w:tmpl w:val="A5B820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12ECF"/>
    <w:multiLevelType w:val="hybridMultilevel"/>
    <w:tmpl w:val="617C67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F1B87"/>
    <w:multiLevelType w:val="hybridMultilevel"/>
    <w:tmpl w:val="1E38B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12A09"/>
    <w:multiLevelType w:val="hybridMultilevel"/>
    <w:tmpl w:val="CE2AA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62397"/>
    <w:multiLevelType w:val="hybridMultilevel"/>
    <w:tmpl w:val="964C78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E05F0"/>
    <w:multiLevelType w:val="hybridMultilevel"/>
    <w:tmpl w:val="D5000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4745594"/>
    <w:multiLevelType w:val="hybridMultilevel"/>
    <w:tmpl w:val="C15C69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B786A"/>
    <w:multiLevelType w:val="hybridMultilevel"/>
    <w:tmpl w:val="A492FF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2577D"/>
    <w:multiLevelType w:val="hybridMultilevel"/>
    <w:tmpl w:val="5846F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8506C7"/>
    <w:multiLevelType w:val="hybridMultilevel"/>
    <w:tmpl w:val="80AE1E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74657"/>
    <w:multiLevelType w:val="hybridMultilevel"/>
    <w:tmpl w:val="83585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94E81"/>
    <w:multiLevelType w:val="hybridMultilevel"/>
    <w:tmpl w:val="D17C2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626194"/>
    <w:multiLevelType w:val="hybridMultilevel"/>
    <w:tmpl w:val="70DC3FE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DC275F0"/>
    <w:multiLevelType w:val="hybridMultilevel"/>
    <w:tmpl w:val="2252064A"/>
    <w:lvl w:ilvl="0" w:tplc="63A2DBE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713BD0"/>
    <w:multiLevelType w:val="hybridMultilevel"/>
    <w:tmpl w:val="D1A4F9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86413B"/>
    <w:multiLevelType w:val="hybridMultilevel"/>
    <w:tmpl w:val="41F25098"/>
    <w:lvl w:ilvl="0" w:tplc="26B2D3C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CF64EF4"/>
    <w:multiLevelType w:val="hybridMultilevel"/>
    <w:tmpl w:val="98B87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</w:num>
  <w:num w:numId="3">
    <w:abstractNumId w:val="23"/>
  </w:num>
  <w:num w:numId="4">
    <w:abstractNumId w:val="11"/>
  </w:num>
  <w:num w:numId="5">
    <w:abstractNumId w:val="10"/>
  </w:num>
  <w:num w:numId="6">
    <w:abstractNumId w:val="6"/>
  </w:num>
  <w:num w:numId="7">
    <w:abstractNumId w:val="19"/>
  </w:num>
  <w:num w:numId="8">
    <w:abstractNumId w:val="17"/>
  </w:num>
  <w:num w:numId="9">
    <w:abstractNumId w:val="4"/>
  </w:num>
  <w:num w:numId="10">
    <w:abstractNumId w:val="13"/>
  </w:num>
  <w:num w:numId="11">
    <w:abstractNumId w:val="22"/>
  </w:num>
  <w:num w:numId="12">
    <w:abstractNumId w:val="7"/>
  </w:num>
  <w:num w:numId="13">
    <w:abstractNumId w:val="18"/>
  </w:num>
  <w:num w:numId="14">
    <w:abstractNumId w:val="1"/>
  </w:num>
  <w:num w:numId="15">
    <w:abstractNumId w:val="5"/>
  </w:num>
  <w:num w:numId="16">
    <w:abstractNumId w:val="9"/>
  </w:num>
  <w:num w:numId="17">
    <w:abstractNumId w:val="15"/>
  </w:num>
  <w:num w:numId="18">
    <w:abstractNumId w:val="2"/>
  </w:num>
  <w:num w:numId="19">
    <w:abstractNumId w:val="8"/>
  </w:num>
  <w:num w:numId="20">
    <w:abstractNumId w:val="3"/>
  </w:num>
  <w:num w:numId="21">
    <w:abstractNumId w:val="16"/>
  </w:num>
  <w:num w:numId="22">
    <w:abstractNumId w:val="14"/>
  </w:num>
  <w:num w:numId="23">
    <w:abstractNumId w:val="24"/>
  </w:num>
  <w:num w:numId="24">
    <w:abstractNumId w:val="20"/>
  </w:num>
  <w:num w:numId="25">
    <w:abstractNumId w:val="2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110"/>
    <w:rsid w:val="00060AB9"/>
    <w:rsid w:val="00093CB1"/>
    <w:rsid w:val="00167874"/>
    <w:rsid w:val="001C07CD"/>
    <w:rsid w:val="00240AD8"/>
    <w:rsid w:val="002B00E3"/>
    <w:rsid w:val="002B0A1F"/>
    <w:rsid w:val="002B4450"/>
    <w:rsid w:val="003111FC"/>
    <w:rsid w:val="003A056D"/>
    <w:rsid w:val="004622F0"/>
    <w:rsid w:val="00556B8E"/>
    <w:rsid w:val="005B1CA7"/>
    <w:rsid w:val="005C0ABB"/>
    <w:rsid w:val="005C2E5D"/>
    <w:rsid w:val="005F3023"/>
    <w:rsid w:val="00622474"/>
    <w:rsid w:val="00626FA7"/>
    <w:rsid w:val="00650D95"/>
    <w:rsid w:val="00652110"/>
    <w:rsid w:val="00677951"/>
    <w:rsid w:val="006D7678"/>
    <w:rsid w:val="00744925"/>
    <w:rsid w:val="00750193"/>
    <w:rsid w:val="00751C61"/>
    <w:rsid w:val="0075623C"/>
    <w:rsid w:val="007B549F"/>
    <w:rsid w:val="007C7ABD"/>
    <w:rsid w:val="0089786C"/>
    <w:rsid w:val="00957E2B"/>
    <w:rsid w:val="009F101B"/>
    <w:rsid w:val="00A06B29"/>
    <w:rsid w:val="00A31BD2"/>
    <w:rsid w:val="00AB57BE"/>
    <w:rsid w:val="00B97730"/>
    <w:rsid w:val="00BC5F57"/>
    <w:rsid w:val="00C1284B"/>
    <w:rsid w:val="00C2536F"/>
    <w:rsid w:val="00C26C9F"/>
    <w:rsid w:val="00CE7B4A"/>
    <w:rsid w:val="00D52F45"/>
    <w:rsid w:val="00D83086"/>
    <w:rsid w:val="00DC0291"/>
    <w:rsid w:val="00DD1067"/>
    <w:rsid w:val="00DD15A4"/>
    <w:rsid w:val="00DF06AE"/>
    <w:rsid w:val="00E27786"/>
    <w:rsid w:val="00F5272C"/>
    <w:rsid w:val="00FD2368"/>
    <w:rsid w:val="00FF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BCBFDC-9EAE-447B-8C9B-F0BD41A93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1B8F"/>
    <w:rPr>
      <w:rFonts w:ascii="Calibri" w:eastAsia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F1B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Noma">
    <w:name w:val="Nagłówek 2 Noma"/>
    <w:basedOn w:val="Nagwek1"/>
    <w:uiPriority w:val="17"/>
    <w:qFormat/>
    <w:rsid w:val="00FF1B8F"/>
    <w:pPr>
      <w:numPr>
        <w:ilvl w:val="1"/>
        <w:numId w:val="1"/>
      </w:numPr>
      <w:spacing w:after="240" w:line="240" w:lineRule="auto"/>
      <w:ind w:left="1003"/>
      <w:jc w:val="both"/>
      <w:outlineLvl w:val="1"/>
    </w:pPr>
    <w:rPr>
      <w:rFonts w:ascii="Arial" w:hAnsi="Arial" w:cs="Arial"/>
      <w:b/>
      <w:bCs/>
      <w:color w:val="auto"/>
      <w:szCs w:val="28"/>
    </w:rPr>
  </w:style>
  <w:style w:type="paragraph" w:customStyle="1" w:styleId="Nagwek3Noma">
    <w:name w:val="Nagłówek 3 Noma"/>
    <w:basedOn w:val="Nagwek2Noma"/>
    <w:next w:val="TekstPodstawowyNoma"/>
    <w:link w:val="Nagwek3NomaZnak"/>
    <w:uiPriority w:val="18"/>
    <w:qFormat/>
    <w:rsid w:val="00FF1B8F"/>
    <w:pPr>
      <w:numPr>
        <w:ilvl w:val="2"/>
      </w:numPr>
    </w:pPr>
    <w:rPr>
      <w:sz w:val="24"/>
    </w:rPr>
  </w:style>
  <w:style w:type="character" w:customStyle="1" w:styleId="Nagwek3NomaZnak">
    <w:name w:val="Nagłówek 3 Noma Znak"/>
    <w:basedOn w:val="Domylnaczcionkaakapitu"/>
    <w:link w:val="Nagwek3Noma"/>
    <w:uiPriority w:val="18"/>
    <w:locked/>
    <w:rsid w:val="00FF1B8F"/>
    <w:rPr>
      <w:rFonts w:ascii="Arial" w:eastAsiaTheme="majorEastAsia" w:hAnsi="Arial" w:cs="Arial"/>
      <w:b/>
      <w:bCs/>
      <w:sz w:val="24"/>
      <w:szCs w:val="28"/>
    </w:rPr>
  </w:style>
  <w:style w:type="paragraph" w:customStyle="1" w:styleId="TekstPodstawowyNoma">
    <w:name w:val="Tekst Podstawowy Noma"/>
    <w:basedOn w:val="Normalny"/>
    <w:link w:val="TekstPodstawowyNomaZnak"/>
    <w:uiPriority w:val="98"/>
    <w:qFormat/>
    <w:rsid w:val="00FF1B8F"/>
    <w:pPr>
      <w:spacing w:before="240" w:after="240" w:line="240" w:lineRule="auto"/>
      <w:jc w:val="both"/>
    </w:pPr>
    <w:rPr>
      <w:rFonts w:ascii="Arial" w:eastAsia="Times New Roman" w:hAnsi="Arial" w:cs="Times New Roman"/>
      <w:sz w:val="24"/>
    </w:rPr>
  </w:style>
  <w:style w:type="character" w:customStyle="1" w:styleId="TekstPodstawowyNomaZnak">
    <w:name w:val="Tekst Podstawowy Noma Znak"/>
    <w:basedOn w:val="Domylnaczcionkaakapitu"/>
    <w:link w:val="TekstPodstawowyNoma"/>
    <w:uiPriority w:val="98"/>
    <w:locked/>
    <w:rsid w:val="00FF1B8F"/>
    <w:rPr>
      <w:rFonts w:ascii="Arial" w:eastAsia="Times New Roman" w:hAnsi="Arial" w:cs="Times New Roman"/>
      <w:sz w:val="24"/>
    </w:rPr>
  </w:style>
  <w:style w:type="paragraph" w:customStyle="1" w:styleId="Nagwek4Noma">
    <w:name w:val="Nagłówek 4 Noma"/>
    <w:basedOn w:val="Nagwek3Noma"/>
    <w:next w:val="TekstPodstawowyNoma"/>
    <w:uiPriority w:val="98"/>
    <w:rsid w:val="00FF1B8F"/>
    <w:pPr>
      <w:numPr>
        <w:ilvl w:val="3"/>
      </w:numPr>
    </w:pPr>
  </w:style>
  <w:style w:type="paragraph" w:customStyle="1" w:styleId="Nagwek5Noma">
    <w:name w:val="Nagłówek 5 Noma"/>
    <w:basedOn w:val="Nagwek4Noma"/>
    <w:next w:val="TekstPodstawowyNoma"/>
    <w:uiPriority w:val="98"/>
    <w:rsid w:val="00FF1B8F"/>
    <w:pPr>
      <w:numPr>
        <w:ilvl w:val="4"/>
      </w:numPr>
      <w:tabs>
        <w:tab w:val="left" w:pos="1843"/>
      </w:tabs>
    </w:pPr>
  </w:style>
  <w:style w:type="paragraph" w:customStyle="1" w:styleId="Nagwek6Noma">
    <w:name w:val="Nagłówek 6 Noma"/>
    <w:basedOn w:val="Nagwek5Noma"/>
    <w:next w:val="TekstPodstawowyNoma"/>
    <w:uiPriority w:val="98"/>
    <w:rsid w:val="00FF1B8F"/>
    <w:pPr>
      <w:numPr>
        <w:ilvl w:val="5"/>
      </w:numPr>
    </w:pPr>
  </w:style>
  <w:style w:type="paragraph" w:styleId="Akapitzlist">
    <w:name w:val="List Paragraph"/>
    <w:basedOn w:val="Normalny"/>
    <w:link w:val="AkapitzlistZnak"/>
    <w:uiPriority w:val="34"/>
    <w:qFormat/>
    <w:rsid w:val="00FF1B8F"/>
    <w:pPr>
      <w:spacing w:after="200" w:line="276" w:lineRule="auto"/>
      <w:ind w:left="720"/>
      <w:contextualSpacing/>
    </w:pPr>
    <w:rPr>
      <w:rFonts w:eastAsia="Times New Roman" w:cs="Times New Roman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F1B8F"/>
    <w:rPr>
      <w:rFonts w:eastAsia="Times New Roman" w:cs="Times New Roman"/>
    </w:rPr>
  </w:style>
  <w:style w:type="character" w:customStyle="1" w:styleId="Nagwek1Znak">
    <w:name w:val="Nagłówek 1 Znak"/>
    <w:basedOn w:val="Domylnaczcionkaakapitu"/>
    <w:link w:val="Nagwek1"/>
    <w:uiPriority w:val="99"/>
    <w:rsid w:val="00FF1B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ableContents">
    <w:name w:val="Table Contents"/>
    <w:basedOn w:val="Normalny"/>
    <w:uiPriority w:val="99"/>
    <w:rsid w:val="00FF1B8F"/>
    <w:pPr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styleId="Nagwek">
    <w:name w:val="header"/>
    <w:basedOn w:val="Normalny"/>
    <w:link w:val="NagwekZnak"/>
    <w:uiPriority w:val="99"/>
    <w:rsid w:val="00FF1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1B8F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rsid w:val="00FF1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1B8F"/>
    <w:rPr>
      <w:rFonts w:ascii="Calibri" w:eastAsia="Calibri" w:hAnsi="Calibri" w:cs="Calibri"/>
    </w:rPr>
  </w:style>
  <w:style w:type="character" w:styleId="Hipercze">
    <w:name w:val="Hyperlink"/>
    <w:basedOn w:val="Domylnaczcionkaakapitu"/>
    <w:uiPriority w:val="99"/>
    <w:rsid w:val="00FF1B8F"/>
    <w:rPr>
      <w:color w:val="0563C1"/>
      <w:u w:val="single"/>
    </w:rPr>
  </w:style>
  <w:style w:type="paragraph" w:customStyle="1" w:styleId="siwzpoziom3">
    <w:name w:val="siwz poziom 3"/>
    <w:basedOn w:val="Normalny"/>
    <w:uiPriority w:val="99"/>
    <w:rsid w:val="00C26C9F"/>
    <w:pPr>
      <w:numPr>
        <w:ilvl w:val="2"/>
        <w:numId w:val="14"/>
      </w:numPr>
      <w:suppressAutoHyphens/>
      <w:spacing w:after="0" w:line="240" w:lineRule="auto"/>
      <w:jc w:val="both"/>
    </w:pPr>
    <w:rPr>
      <w:rFonts w:ascii="Arial" w:eastAsia="Times New Roman" w:hAnsi="Arial" w:cs="Arial"/>
      <w:kern w:val="1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B29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D7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45388-3C53-4DC3-B3E4-220C51656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1914</Words>
  <Characters>11487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Frica</dc:creator>
  <cp:lastModifiedBy>Bogumiła Wiktorska</cp:lastModifiedBy>
  <cp:revision>2</cp:revision>
  <cp:lastPrinted>2021-03-26T10:24:00Z</cp:lastPrinted>
  <dcterms:created xsi:type="dcterms:W3CDTF">2023-06-01T13:50:00Z</dcterms:created>
  <dcterms:modified xsi:type="dcterms:W3CDTF">2023-06-01T13:50:00Z</dcterms:modified>
</cp:coreProperties>
</file>