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1B8F" w:rsidRPr="00AB57BE" w:rsidRDefault="00FF1B8F" w:rsidP="00FF1B8F">
      <w:pPr>
        <w:spacing w:after="0" w:line="240" w:lineRule="auto"/>
        <w:jc w:val="center"/>
        <w:rPr>
          <w:rFonts w:ascii="Lato" w:eastAsia="Times New Roman" w:hAnsi="Lato" w:cs="Lato"/>
          <w:b/>
          <w:caps/>
          <w:lang w:eastAsia="pl-PL"/>
        </w:rPr>
      </w:pPr>
    </w:p>
    <w:p w:rsidR="006D7678" w:rsidRDefault="006D7678" w:rsidP="006D7678">
      <w:pPr>
        <w:jc w:val="center"/>
        <w:rPr>
          <w:rFonts w:ascii="Arial" w:hAnsi="Arial" w:cs="Arial"/>
          <w:b/>
          <w:sz w:val="20"/>
          <w:szCs w:val="20"/>
        </w:rPr>
      </w:pPr>
    </w:p>
    <w:p w:rsidR="00BB4F96" w:rsidRPr="005D5E9F" w:rsidRDefault="00BB4F96" w:rsidP="00BB4F96">
      <w:pPr>
        <w:rPr>
          <w:rFonts w:asciiTheme="minorHAnsi" w:hAnsiTheme="minorHAnsi" w:cstheme="minorHAnsi"/>
          <w:b/>
        </w:rPr>
      </w:pPr>
      <w:r w:rsidRPr="005D5E9F">
        <w:rPr>
          <w:rFonts w:asciiTheme="minorHAnsi" w:hAnsiTheme="minorHAnsi" w:cstheme="minorHAnsi"/>
          <w:b/>
        </w:rPr>
        <w:t>Chrześcijańska Akademia Teologiczna w Warszawie</w:t>
      </w:r>
    </w:p>
    <w:p w:rsidR="00BB4F96" w:rsidRPr="005D5E9F" w:rsidRDefault="00D85DD9" w:rsidP="00BB4F96">
      <w:pPr>
        <w:rPr>
          <w:rFonts w:asciiTheme="minorHAnsi" w:hAnsiTheme="minorHAnsi" w:cstheme="minorHAnsi"/>
          <w:b/>
        </w:rPr>
      </w:pPr>
      <w:r>
        <w:rPr>
          <w:rFonts w:asciiTheme="minorHAnsi" w:hAnsiTheme="minorHAnsi" w:cstheme="minorHAnsi"/>
          <w:b/>
        </w:rPr>
        <w:t>u</w:t>
      </w:r>
      <w:r w:rsidR="00BB4F96" w:rsidRPr="005D5E9F">
        <w:rPr>
          <w:rFonts w:asciiTheme="minorHAnsi" w:hAnsiTheme="minorHAnsi" w:cstheme="minorHAnsi"/>
          <w:b/>
        </w:rPr>
        <w:t xml:space="preserve">l. Broniewskiego 48, </w:t>
      </w:r>
    </w:p>
    <w:p w:rsidR="00BB4F96" w:rsidRPr="005D5E9F" w:rsidRDefault="00BB4F96" w:rsidP="00BB4F96">
      <w:pPr>
        <w:rPr>
          <w:rFonts w:asciiTheme="minorHAnsi" w:hAnsiTheme="minorHAnsi" w:cstheme="minorHAnsi"/>
          <w:b/>
        </w:rPr>
      </w:pPr>
      <w:r w:rsidRPr="005D5E9F">
        <w:rPr>
          <w:rFonts w:asciiTheme="minorHAnsi" w:hAnsiTheme="minorHAnsi" w:cstheme="minorHAnsi"/>
          <w:b/>
        </w:rPr>
        <w:t>01-771 Warszawa</w:t>
      </w:r>
    </w:p>
    <w:p w:rsidR="00BB4F96" w:rsidRPr="005D5E9F" w:rsidRDefault="00BB4F96" w:rsidP="00BB4F96">
      <w:pPr>
        <w:rPr>
          <w:rFonts w:asciiTheme="minorHAnsi" w:hAnsiTheme="minorHAnsi" w:cstheme="minorHAnsi"/>
          <w:b/>
        </w:rPr>
      </w:pPr>
      <w:r w:rsidRPr="005D5E9F">
        <w:rPr>
          <w:rFonts w:asciiTheme="minorHAnsi" w:hAnsiTheme="minorHAnsi" w:cstheme="minorHAnsi"/>
          <w:b/>
        </w:rPr>
        <w:t>NIP: 525-15-73-061</w:t>
      </w:r>
    </w:p>
    <w:p w:rsidR="00BB4F96" w:rsidRPr="005D5E9F" w:rsidRDefault="00BB4F96" w:rsidP="00BB4F96">
      <w:pPr>
        <w:jc w:val="right"/>
        <w:rPr>
          <w:rFonts w:asciiTheme="minorHAnsi" w:hAnsiTheme="minorHAnsi" w:cstheme="minorHAnsi"/>
          <w:b/>
          <w:bCs/>
          <w:strike/>
          <w:color w:val="363636"/>
        </w:rPr>
      </w:pPr>
      <w:r w:rsidRPr="005D5E9F">
        <w:rPr>
          <w:rFonts w:asciiTheme="minorHAnsi" w:hAnsiTheme="minorHAnsi" w:cstheme="minorHAnsi"/>
          <w:b/>
        </w:rPr>
        <w:t>Załącznik nr 1</w:t>
      </w:r>
    </w:p>
    <w:p w:rsidR="00BB4F96" w:rsidRPr="005D5E9F" w:rsidRDefault="00BB4F96" w:rsidP="00BB4F96">
      <w:pPr>
        <w:spacing w:line="360" w:lineRule="auto"/>
        <w:jc w:val="center"/>
        <w:rPr>
          <w:rFonts w:asciiTheme="minorHAnsi" w:hAnsiTheme="minorHAnsi" w:cstheme="minorHAnsi"/>
          <w:b/>
          <w:smallCaps/>
        </w:rPr>
      </w:pPr>
      <w:r w:rsidRPr="005D5E9F">
        <w:rPr>
          <w:rFonts w:asciiTheme="minorHAnsi" w:hAnsiTheme="minorHAnsi" w:cstheme="minorHAnsi"/>
          <w:b/>
          <w:smallCaps/>
        </w:rPr>
        <w:t xml:space="preserve">Ustalenie wartości szacunkowej </w:t>
      </w:r>
    </w:p>
    <w:p w:rsidR="00BB4F96" w:rsidRPr="005D5E9F" w:rsidRDefault="00BB4F96" w:rsidP="00BB4F96">
      <w:pPr>
        <w:rPr>
          <w:rFonts w:asciiTheme="minorHAnsi" w:hAnsiTheme="minorHAnsi" w:cstheme="minorHAnsi"/>
        </w:rPr>
      </w:pPr>
      <w:r w:rsidRPr="005D5E9F">
        <w:rPr>
          <w:rFonts w:asciiTheme="minorHAnsi" w:hAnsiTheme="minorHAnsi" w:cstheme="minorHAnsi"/>
        </w:rPr>
        <w:t xml:space="preserve">na dostęp do publikacji w wersji elektronicznej dla </w:t>
      </w:r>
      <w:r w:rsidRPr="005D5E9F">
        <w:rPr>
          <w:rFonts w:asciiTheme="minorHAnsi" w:hAnsiTheme="minorHAnsi" w:cstheme="minorHAnsi"/>
          <w:b/>
          <w:bCs/>
        </w:rPr>
        <w:t>Chrześcijańskiej Akademii Teologicznej w Warszawie</w:t>
      </w:r>
      <w:r w:rsidRPr="005D5E9F">
        <w:rPr>
          <w:rFonts w:asciiTheme="minorHAnsi" w:hAnsiTheme="minorHAnsi" w:cstheme="minorHAnsi"/>
          <w:bCs/>
        </w:rPr>
        <w:t xml:space="preserve"> </w:t>
      </w:r>
      <w:r w:rsidRPr="005D5E9F">
        <w:rPr>
          <w:rFonts w:asciiTheme="minorHAnsi" w:hAnsiTheme="minorHAnsi" w:cstheme="minorHAnsi"/>
        </w:rPr>
        <w:t>zapewniający dostępność uczelni i jej oferty dla studentów z niepełnosprawnościami.</w:t>
      </w:r>
    </w:p>
    <w:p w:rsidR="00BB4F96" w:rsidRPr="005D5E9F" w:rsidRDefault="00BB4F96" w:rsidP="00BB4F96">
      <w:pPr>
        <w:pStyle w:val="NormalnyWeb"/>
        <w:shd w:val="clear" w:color="auto" w:fill="FFFFFF"/>
        <w:jc w:val="both"/>
        <w:rPr>
          <w:rFonts w:asciiTheme="minorHAnsi" w:hAnsiTheme="minorHAnsi" w:cstheme="minorHAnsi"/>
          <w:sz w:val="22"/>
          <w:szCs w:val="22"/>
        </w:rPr>
      </w:pPr>
      <w:r w:rsidRPr="005D5E9F">
        <w:rPr>
          <w:rFonts w:asciiTheme="minorHAnsi" w:hAnsiTheme="minorHAnsi" w:cstheme="minorHAnsi"/>
          <w:sz w:val="22"/>
          <w:szCs w:val="22"/>
        </w:rPr>
        <w:t>Chrześcijańska Akademia Teologiczna w Warszawie (</w:t>
      </w:r>
      <w:proofErr w:type="spellStart"/>
      <w:r w:rsidRPr="005D5E9F">
        <w:rPr>
          <w:rFonts w:asciiTheme="minorHAnsi" w:hAnsiTheme="minorHAnsi" w:cstheme="minorHAnsi"/>
          <w:sz w:val="22"/>
          <w:szCs w:val="22"/>
        </w:rPr>
        <w:t>ChAT</w:t>
      </w:r>
      <w:proofErr w:type="spellEnd"/>
      <w:r w:rsidRPr="005D5E9F">
        <w:rPr>
          <w:rFonts w:asciiTheme="minorHAnsi" w:hAnsiTheme="minorHAnsi" w:cstheme="minorHAnsi"/>
          <w:sz w:val="22"/>
          <w:szCs w:val="22"/>
        </w:rPr>
        <w:t xml:space="preserve">) jest uczelnią publiczną (państwową) o blisko 60-letniej tradycji, posiadającą pełne uprawnienia akademickie. Kształci studentów w zakresie nauk teologicznych, pedagogicznych i pracy socjalnej. Specyfiką uczelni jest jej kameralny charakter, osobowe relacje między studentami i wykładowcami, tolerancja, ekumenizm i szacunek wobec odmienności. W murach </w:t>
      </w:r>
      <w:proofErr w:type="spellStart"/>
      <w:r w:rsidRPr="005D5E9F">
        <w:rPr>
          <w:rFonts w:asciiTheme="minorHAnsi" w:hAnsiTheme="minorHAnsi" w:cstheme="minorHAnsi"/>
          <w:sz w:val="22"/>
          <w:szCs w:val="22"/>
        </w:rPr>
        <w:t>ChAT</w:t>
      </w:r>
      <w:proofErr w:type="spellEnd"/>
      <w:r w:rsidRPr="005D5E9F">
        <w:rPr>
          <w:rFonts w:asciiTheme="minorHAnsi" w:hAnsiTheme="minorHAnsi" w:cstheme="minorHAnsi"/>
          <w:sz w:val="22"/>
          <w:szCs w:val="22"/>
        </w:rPr>
        <w:t xml:space="preserve"> studiują przedstawiciele rożnych tradycji, kultur i wyznań́. Powoduje to, że </w:t>
      </w:r>
      <w:proofErr w:type="spellStart"/>
      <w:r w:rsidRPr="005D5E9F">
        <w:rPr>
          <w:rFonts w:asciiTheme="minorHAnsi" w:hAnsiTheme="minorHAnsi" w:cstheme="minorHAnsi"/>
          <w:sz w:val="22"/>
          <w:szCs w:val="22"/>
        </w:rPr>
        <w:t>ChAT</w:t>
      </w:r>
      <w:proofErr w:type="spellEnd"/>
      <w:r w:rsidRPr="005D5E9F">
        <w:rPr>
          <w:rFonts w:asciiTheme="minorHAnsi" w:hAnsiTheme="minorHAnsi" w:cstheme="minorHAnsi"/>
          <w:sz w:val="22"/>
          <w:szCs w:val="22"/>
        </w:rPr>
        <w:t xml:space="preserve"> jest instytucją niezwykle wrażliwą na otoczenie i zachowania społeczne w otaczającej rzeczywistości. Na bieżąco analizuje sytuację i dostrzega coraz większy problem wykluczania osób z niepełnosprawnościami z grona potencjalnych studentów, a co za tym idzie potrzebę dostosowania działalności uczelni, która umożliwi pełen dostęp do studiowania i nauki wszystkim osobom, w tym osobom z niepełnosprawnościami. </w:t>
      </w:r>
    </w:p>
    <w:p w:rsidR="00BB4F96" w:rsidRPr="005D5E9F" w:rsidRDefault="00BB4F96" w:rsidP="00BB4F96">
      <w:pPr>
        <w:pStyle w:val="NormalnyWeb"/>
        <w:shd w:val="clear" w:color="auto" w:fill="FFFFFF"/>
        <w:jc w:val="both"/>
        <w:rPr>
          <w:rFonts w:asciiTheme="minorHAnsi" w:hAnsiTheme="minorHAnsi" w:cstheme="minorHAnsi"/>
          <w:sz w:val="22"/>
          <w:szCs w:val="22"/>
        </w:rPr>
      </w:pPr>
      <w:r w:rsidRPr="005D5E9F">
        <w:rPr>
          <w:rFonts w:asciiTheme="minorHAnsi" w:hAnsiTheme="minorHAnsi" w:cstheme="minorHAnsi"/>
          <w:b/>
          <w:bCs/>
          <w:sz w:val="22"/>
          <w:szCs w:val="22"/>
          <w:u w:val="single"/>
        </w:rPr>
        <w:t xml:space="preserve">W związku z tym </w:t>
      </w:r>
      <w:proofErr w:type="spellStart"/>
      <w:r w:rsidRPr="005D5E9F">
        <w:rPr>
          <w:rFonts w:asciiTheme="minorHAnsi" w:hAnsiTheme="minorHAnsi" w:cstheme="minorHAnsi"/>
          <w:b/>
          <w:bCs/>
          <w:sz w:val="22"/>
          <w:szCs w:val="22"/>
          <w:u w:val="single"/>
        </w:rPr>
        <w:t>ChAT</w:t>
      </w:r>
      <w:proofErr w:type="spellEnd"/>
      <w:r w:rsidRPr="005D5E9F">
        <w:rPr>
          <w:rFonts w:asciiTheme="minorHAnsi" w:hAnsiTheme="minorHAnsi" w:cstheme="minorHAnsi"/>
          <w:b/>
          <w:bCs/>
          <w:sz w:val="22"/>
          <w:szCs w:val="22"/>
          <w:u w:val="single"/>
        </w:rPr>
        <w:t xml:space="preserve"> zwraca się z prośbą </w:t>
      </w:r>
      <w:r w:rsidRPr="005D5E9F">
        <w:rPr>
          <w:rFonts w:asciiTheme="minorHAnsi" w:hAnsiTheme="minorHAnsi" w:cstheme="minorHAnsi"/>
          <w:b/>
          <w:bCs/>
          <w:iCs/>
          <w:sz w:val="22"/>
          <w:szCs w:val="22"/>
          <w:u w:val="single"/>
        </w:rPr>
        <w:t>o określenie wartości szacunkowej zapytania, zgodnie z poniższą specyfikacją:</w:t>
      </w:r>
    </w:p>
    <w:p w:rsidR="00BB4F96" w:rsidRPr="005D5E9F" w:rsidRDefault="00BB4F96" w:rsidP="00BB4F96">
      <w:pPr>
        <w:pStyle w:val="Akapitzlist"/>
        <w:numPr>
          <w:ilvl w:val="0"/>
          <w:numId w:val="19"/>
        </w:numPr>
        <w:overflowPunct w:val="0"/>
        <w:autoSpaceDE w:val="0"/>
        <w:spacing w:after="0" w:line="271" w:lineRule="auto"/>
        <w:ind w:left="426" w:hanging="284"/>
        <w:jc w:val="both"/>
        <w:textAlignment w:val="baseline"/>
        <w:rPr>
          <w:rFonts w:asciiTheme="minorHAnsi" w:hAnsiTheme="minorHAnsi" w:cstheme="minorHAnsi"/>
          <w:color w:val="000000"/>
          <w:szCs w:val="24"/>
        </w:rPr>
      </w:pPr>
      <w:r w:rsidRPr="005D5E9F">
        <w:rPr>
          <w:rFonts w:asciiTheme="minorHAnsi" w:hAnsiTheme="minorHAnsi" w:cstheme="minorHAnsi"/>
          <w:szCs w:val="24"/>
        </w:rPr>
        <w:t xml:space="preserve">Przedmiotem zamówienia jest wyłonienie Wykonawcy lub Wykonawców, którzy zapewnią dostęp do </w:t>
      </w:r>
      <w:r w:rsidRPr="00C66943">
        <w:rPr>
          <w:rFonts w:asciiTheme="minorHAnsi" w:hAnsiTheme="minorHAnsi" w:cstheme="minorHAnsi"/>
          <w:b/>
          <w:szCs w:val="24"/>
        </w:rPr>
        <w:t>publikacji w wersji elektronicznej</w:t>
      </w:r>
      <w:r w:rsidRPr="005D5E9F">
        <w:rPr>
          <w:rFonts w:asciiTheme="minorHAnsi" w:hAnsiTheme="minorHAnsi" w:cstheme="minorHAnsi"/>
          <w:szCs w:val="24"/>
        </w:rPr>
        <w:t xml:space="preserve"> dla </w:t>
      </w:r>
      <w:r w:rsidRPr="005D5E9F">
        <w:rPr>
          <w:rFonts w:asciiTheme="minorHAnsi" w:hAnsiTheme="minorHAnsi" w:cstheme="minorHAnsi"/>
          <w:bCs/>
          <w:szCs w:val="24"/>
        </w:rPr>
        <w:t>Chrześcijańskiej Akademii Teologicznej w Warszawie</w:t>
      </w:r>
      <w:r w:rsidRPr="005D5E9F">
        <w:rPr>
          <w:rFonts w:asciiTheme="minorHAnsi" w:hAnsiTheme="minorHAnsi" w:cstheme="minorHAnsi"/>
          <w:szCs w:val="24"/>
        </w:rPr>
        <w:t xml:space="preserve">. </w:t>
      </w:r>
    </w:p>
    <w:p w:rsidR="00BB4F96" w:rsidRPr="005D5E9F" w:rsidRDefault="00BB4F96" w:rsidP="00BB4F96">
      <w:pPr>
        <w:pStyle w:val="Akapitzlist"/>
        <w:numPr>
          <w:ilvl w:val="0"/>
          <w:numId w:val="19"/>
        </w:numPr>
        <w:overflowPunct w:val="0"/>
        <w:autoSpaceDE w:val="0"/>
        <w:spacing w:after="0" w:line="271" w:lineRule="auto"/>
        <w:ind w:left="426" w:hanging="284"/>
        <w:jc w:val="both"/>
        <w:textAlignment w:val="baseline"/>
        <w:rPr>
          <w:rFonts w:asciiTheme="minorHAnsi" w:hAnsiTheme="minorHAnsi" w:cstheme="minorHAnsi"/>
          <w:szCs w:val="24"/>
        </w:rPr>
      </w:pPr>
      <w:r w:rsidRPr="005D5E9F">
        <w:rPr>
          <w:rFonts w:asciiTheme="minorHAnsi" w:hAnsiTheme="minorHAnsi" w:cstheme="minorHAnsi"/>
          <w:spacing w:val="-3"/>
          <w:szCs w:val="24"/>
        </w:rPr>
        <w:t>W</w:t>
      </w:r>
      <w:r w:rsidRPr="005D5E9F">
        <w:rPr>
          <w:rFonts w:asciiTheme="minorHAnsi" w:hAnsiTheme="minorHAnsi" w:cstheme="minorHAnsi"/>
          <w:szCs w:val="24"/>
        </w:rPr>
        <w:t>ykonawca</w:t>
      </w:r>
      <w:r w:rsidRPr="005D5E9F">
        <w:rPr>
          <w:rFonts w:asciiTheme="minorHAnsi" w:hAnsiTheme="minorHAnsi" w:cstheme="minorHAnsi"/>
          <w:spacing w:val="41"/>
          <w:szCs w:val="24"/>
        </w:rPr>
        <w:t xml:space="preserve"> </w:t>
      </w:r>
      <w:r w:rsidRPr="005D5E9F">
        <w:rPr>
          <w:rFonts w:asciiTheme="minorHAnsi" w:hAnsiTheme="minorHAnsi" w:cstheme="minorHAnsi"/>
          <w:szCs w:val="24"/>
        </w:rPr>
        <w:t>powinien</w:t>
      </w:r>
      <w:r w:rsidRPr="005D5E9F">
        <w:rPr>
          <w:rFonts w:asciiTheme="minorHAnsi" w:hAnsiTheme="minorHAnsi" w:cstheme="minorHAnsi"/>
          <w:spacing w:val="31"/>
          <w:szCs w:val="24"/>
        </w:rPr>
        <w:t xml:space="preserve"> </w:t>
      </w:r>
      <w:r w:rsidRPr="005D5E9F">
        <w:rPr>
          <w:rFonts w:asciiTheme="minorHAnsi" w:hAnsiTheme="minorHAnsi" w:cstheme="minorHAnsi"/>
          <w:szCs w:val="24"/>
        </w:rPr>
        <w:t>posiadać</w:t>
      </w:r>
      <w:r w:rsidRPr="005D5E9F">
        <w:rPr>
          <w:rFonts w:asciiTheme="minorHAnsi" w:hAnsiTheme="minorHAnsi" w:cstheme="minorHAnsi"/>
          <w:spacing w:val="42"/>
          <w:szCs w:val="24"/>
        </w:rPr>
        <w:t xml:space="preserve"> </w:t>
      </w:r>
      <w:r w:rsidRPr="005D5E9F">
        <w:rPr>
          <w:rFonts w:asciiTheme="minorHAnsi" w:hAnsiTheme="minorHAnsi" w:cstheme="minorHAnsi"/>
          <w:szCs w:val="24"/>
        </w:rPr>
        <w:t>w</w:t>
      </w:r>
      <w:r w:rsidRPr="005D5E9F">
        <w:rPr>
          <w:rFonts w:asciiTheme="minorHAnsi" w:hAnsiTheme="minorHAnsi" w:cstheme="minorHAnsi"/>
          <w:spacing w:val="9"/>
          <w:szCs w:val="24"/>
        </w:rPr>
        <w:t xml:space="preserve"> </w:t>
      </w:r>
      <w:r w:rsidRPr="005D5E9F">
        <w:rPr>
          <w:rFonts w:asciiTheme="minorHAnsi" w:hAnsiTheme="minorHAnsi" w:cstheme="minorHAnsi"/>
          <w:szCs w:val="24"/>
        </w:rPr>
        <w:t>s</w:t>
      </w:r>
      <w:r w:rsidRPr="005D5E9F">
        <w:rPr>
          <w:rFonts w:asciiTheme="minorHAnsi" w:hAnsiTheme="minorHAnsi" w:cstheme="minorHAnsi"/>
          <w:spacing w:val="-2"/>
          <w:szCs w:val="24"/>
        </w:rPr>
        <w:t>w</w:t>
      </w:r>
      <w:r w:rsidRPr="005D5E9F">
        <w:rPr>
          <w:rFonts w:asciiTheme="minorHAnsi" w:hAnsiTheme="minorHAnsi" w:cstheme="minorHAnsi"/>
          <w:szCs w:val="24"/>
        </w:rPr>
        <w:t>ojej</w:t>
      </w:r>
      <w:r w:rsidRPr="005D5E9F">
        <w:rPr>
          <w:rFonts w:asciiTheme="minorHAnsi" w:hAnsiTheme="minorHAnsi" w:cstheme="minorHAnsi"/>
          <w:spacing w:val="45"/>
          <w:szCs w:val="24"/>
        </w:rPr>
        <w:t xml:space="preserve"> </w:t>
      </w:r>
      <w:r w:rsidRPr="005D5E9F">
        <w:rPr>
          <w:rFonts w:asciiTheme="minorHAnsi" w:hAnsiTheme="minorHAnsi" w:cstheme="minorHAnsi"/>
          <w:szCs w:val="24"/>
        </w:rPr>
        <w:t>ofercie</w:t>
      </w:r>
      <w:r w:rsidRPr="005D5E9F">
        <w:rPr>
          <w:rFonts w:asciiTheme="minorHAnsi" w:hAnsiTheme="minorHAnsi" w:cstheme="minorHAnsi"/>
          <w:spacing w:val="40"/>
          <w:szCs w:val="24"/>
        </w:rPr>
        <w:t xml:space="preserve"> </w:t>
      </w:r>
      <w:r w:rsidRPr="005D5E9F">
        <w:rPr>
          <w:rFonts w:asciiTheme="minorHAnsi" w:hAnsiTheme="minorHAnsi" w:cstheme="minorHAnsi"/>
          <w:szCs w:val="24"/>
        </w:rPr>
        <w:t>publikacje</w:t>
      </w:r>
      <w:r w:rsidRPr="005D5E9F">
        <w:rPr>
          <w:rFonts w:asciiTheme="minorHAnsi" w:hAnsiTheme="minorHAnsi" w:cstheme="minorHAnsi"/>
          <w:spacing w:val="30"/>
          <w:szCs w:val="24"/>
        </w:rPr>
        <w:t xml:space="preserve"> </w:t>
      </w:r>
      <w:r w:rsidRPr="005D5E9F">
        <w:rPr>
          <w:rFonts w:asciiTheme="minorHAnsi" w:hAnsiTheme="minorHAnsi" w:cstheme="minorHAnsi"/>
          <w:szCs w:val="24"/>
        </w:rPr>
        <w:t>o</w:t>
      </w:r>
      <w:r w:rsidRPr="005D5E9F">
        <w:rPr>
          <w:rFonts w:asciiTheme="minorHAnsi" w:hAnsiTheme="minorHAnsi" w:cstheme="minorHAnsi"/>
          <w:spacing w:val="22"/>
          <w:szCs w:val="24"/>
        </w:rPr>
        <w:t xml:space="preserve"> </w:t>
      </w:r>
      <w:r w:rsidRPr="005D5E9F">
        <w:rPr>
          <w:rFonts w:asciiTheme="minorHAnsi" w:hAnsiTheme="minorHAnsi" w:cstheme="minorHAnsi"/>
          <w:szCs w:val="24"/>
        </w:rPr>
        <w:t>profilu</w:t>
      </w:r>
      <w:r w:rsidRPr="005D5E9F">
        <w:rPr>
          <w:rFonts w:asciiTheme="minorHAnsi" w:hAnsiTheme="minorHAnsi" w:cstheme="minorHAnsi"/>
          <w:spacing w:val="27"/>
          <w:szCs w:val="24"/>
        </w:rPr>
        <w:t xml:space="preserve"> </w:t>
      </w:r>
      <w:r w:rsidRPr="005D5E9F">
        <w:rPr>
          <w:rFonts w:asciiTheme="minorHAnsi" w:hAnsiTheme="minorHAnsi" w:cstheme="minorHAnsi"/>
          <w:szCs w:val="24"/>
        </w:rPr>
        <w:t>naukowym,</w:t>
      </w:r>
      <w:r w:rsidRPr="005D5E9F">
        <w:rPr>
          <w:rFonts w:asciiTheme="minorHAnsi" w:hAnsiTheme="minorHAnsi" w:cstheme="minorHAnsi"/>
          <w:spacing w:val="49"/>
          <w:szCs w:val="24"/>
        </w:rPr>
        <w:t xml:space="preserve"> </w:t>
      </w:r>
      <w:r w:rsidRPr="005D5E9F">
        <w:rPr>
          <w:rFonts w:asciiTheme="minorHAnsi" w:hAnsiTheme="minorHAnsi" w:cstheme="minorHAnsi"/>
          <w:szCs w:val="24"/>
        </w:rPr>
        <w:t xml:space="preserve">akademickim </w:t>
      </w:r>
      <w:r w:rsidRPr="005D5E9F">
        <w:rPr>
          <w:rFonts w:asciiTheme="minorHAnsi" w:hAnsiTheme="minorHAnsi" w:cstheme="minorHAnsi"/>
          <w:w w:val="110"/>
          <w:szCs w:val="24"/>
        </w:rPr>
        <w:t>i</w:t>
      </w:r>
      <w:r w:rsidRPr="005D5E9F">
        <w:rPr>
          <w:rFonts w:asciiTheme="minorHAnsi" w:hAnsiTheme="minorHAnsi" w:cstheme="minorHAnsi"/>
          <w:spacing w:val="-12"/>
          <w:szCs w:val="24"/>
        </w:rPr>
        <w:t xml:space="preserve"> </w:t>
      </w:r>
      <w:r w:rsidRPr="005D5E9F">
        <w:rPr>
          <w:rFonts w:asciiTheme="minorHAnsi" w:hAnsiTheme="minorHAnsi" w:cstheme="minorHAnsi"/>
          <w:szCs w:val="24"/>
        </w:rPr>
        <w:t>specj</w:t>
      </w:r>
      <w:r w:rsidRPr="005D5E9F">
        <w:rPr>
          <w:rFonts w:asciiTheme="minorHAnsi" w:hAnsiTheme="minorHAnsi" w:cstheme="minorHAnsi"/>
          <w:spacing w:val="-8"/>
          <w:szCs w:val="24"/>
        </w:rPr>
        <w:t>a</w:t>
      </w:r>
      <w:r w:rsidRPr="005D5E9F">
        <w:rPr>
          <w:rFonts w:asciiTheme="minorHAnsi" w:hAnsiTheme="minorHAnsi" w:cstheme="minorHAnsi"/>
          <w:spacing w:val="2"/>
          <w:szCs w:val="24"/>
        </w:rPr>
        <w:t>l</w:t>
      </w:r>
      <w:r w:rsidRPr="005D5E9F">
        <w:rPr>
          <w:rFonts w:asciiTheme="minorHAnsi" w:hAnsiTheme="minorHAnsi" w:cstheme="minorHAnsi"/>
          <w:szCs w:val="24"/>
        </w:rPr>
        <w:t xml:space="preserve">istycznym z zakresu: pedagogika, psychologia, prawo oświatowe, prawo rodzinne i opiekuńcze, prawo pracy, prawo administracyjne, prawo kanoniczne, religioznawstwo, teologia, socjologia, komunikacja społeczna, psychologia, psychiatria, kulturoznawstwo, historia, filozofia, etyka, filologie obce, filologia polska. </w:t>
      </w:r>
    </w:p>
    <w:p w:rsidR="00BB4F96" w:rsidRPr="005D5E9F" w:rsidRDefault="00BB4F96" w:rsidP="00BB4F96">
      <w:pPr>
        <w:pStyle w:val="Akapitzlist"/>
        <w:numPr>
          <w:ilvl w:val="0"/>
          <w:numId w:val="19"/>
        </w:numPr>
        <w:overflowPunct w:val="0"/>
        <w:autoSpaceDE w:val="0"/>
        <w:spacing w:after="0" w:line="271" w:lineRule="auto"/>
        <w:ind w:left="426" w:hanging="284"/>
        <w:jc w:val="both"/>
        <w:textAlignment w:val="baseline"/>
        <w:rPr>
          <w:rFonts w:asciiTheme="minorHAnsi" w:hAnsiTheme="minorHAnsi" w:cstheme="minorHAnsi"/>
          <w:szCs w:val="24"/>
        </w:rPr>
      </w:pPr>
      <w:r w:rsidRPr="005D5E9F">
        <w:rPr>
          <w:rFonts w:asciiTheme="minorHAnsi" w:hAnsiTheme="minorHAnsi" w:cstheme="minorHAnsi"/>
          <w:szCs w:val="24"/>
        </w:rPr>
        <w:t xml:space="preserve">Przedmiot zamówienia został opisany w </w:t>
      </w:r>
      <w:r w:rsidRPr="005D5E9F">
        <w:rPr>
          <w:rFonts w:asciiTheme="minorHAnsi" w:hAnsiTheme="minorHAnsi" w:cstheme="minorHAnsi"/>
          <w:b/>
          <w:szCs w:val="24"/>
        </w:rPr>
        <w:t>Załączniku nr 1.</w:t>
      </w:r>
    </w:p>
    <w:p w:rsidR="00BB4F96" w:rsidRPr="005D5E9F" w:rsidRDefault="00BB4F96" w:rsidP="00BB4F96">
      <w:pPr>
        <w:pStyle w:val="Akapitzlist"/>
        <w:numPr>
          <w:ilvl w:val="0"/>
          <w:numId w:val="19"/>
        </w:numPr>
        <w:overflowPunct w:val="0"/>
        <w:autoSpaceDE w:val="0"/>
        <w:spacing w:after="0" w:line="271" w:lineRule="auto"/>
        <w:ind w:left="426" w:hanging="284"/>
        <w:jc w:val="both"/>
        <w:textAlignment w:val="baseline"/>
        <w:rPr>
          <w:rFonts w:asciiTheme="minorHAnsi" w:hAnsiTheme="minorHAnsi" w:cstheme="minorHAnsi"/>
          <w:szCs w:val="24"/>
        </w:rPr>
      </w:pPr>
      <w:r w:rsidRPr="005D5E9F">
        <w:rPr>
          <w:rFonts w:asciiTheme="minorHAnsi" w:hAnsiTheme="minorHAnsi" w:cstheme="minorHAnsi"/>
          <w:szCs w:val="24"/>
        </w:rPr>
        <w:t xml:space="preserve">Zakres przedmiotu zamówienia obejmuje publikacje ujęte w Szczegółowym wykazie tytułów publikacji, stanowiący </w:t>
      </w:r>
      <w:r w:rsidRPr="005D5E9F">
        <w:rPr>
          <w:rFonts w:asciiTheme="minorHAnsi" w:hAnsiTheme="minorHAnsi" w:cstheme="minorHAnsi"/>
          <w:b/>
          <w:szCs w:val="24"/>
        </w:rPr>
        <w:t>Załącznik nr 1A</w:t>
      </w:r>
      <w:r w:rsidRPr="005D5E9F">
        <w:rPr>
          <w:rFonts w:asciiTheme="minorHAnsi" w:hAnsiTheme="minorHAnsi" w:cstheme="minorHAnsi"/>
          <w:szCs w:val="24"/>
        </w:rPr>
        <w:t>,.</w:t>
      </w:r>
    </w:p>
    <w:p w:rsidR="00BB4F96" w:rsidRPr="005D5E9F" w:rsidRDefault="00BB4F96" w:rsidP="00BB4F96">
      <w:pPr>
        <w:pStyle w:val="Akapitzlist"/>
        <w:numPr>
          <w:ilvl w:val="0"/>
          <w:numId w:val="19"/>
        </w:numPr>
        <w:overflowPunct w:val="0"/>
        <w:autoSpaceDE w:val="0"/>
        <w:spacing w:after="0" w:line="271" w:lineRule="auto"/>
        <w:ind w:left="426" w:hanging="284"/>
        <w:jc w:val="both"/>
        <w:textAlignment w:val="baseline"/>
        <w:rPr>
          <w:rFonts w:asciiTheme="minorHAnsi" w:hAnsiTheme="minorHAnsi" w:cstheme="minorHAnsi"/>
          <w:szCs w:val="24"/>
        </w:rPr>
      </w:pPr>
      <w:r w:rsidRPr="005D5E9F">
        <w:rPr>
          <w:rFonts w:asciiTheme="minorHAnsi" w:hAnsiTheme="minorHAnsi" w:cstheme="minorHAnsi"/>
          <w:szCs w:val="24"/>
        </w:rPr>
        <w:t>Do obowiązków Wykonawcy będzie należeć:</w:t>
      </w:r>
    </w:p>
    <w:p w:rsidR="00BB4F96" w:rsidRPr="005D5E9F" w:rsidRDefault="00BB4F96" w:rsidP="00BB4F96">
      <w:pPr>
        <w:pStyle w:val="Akapitzlist"/>
        <w:numPr>
          <w:ilvl w:val="0"/>
          <w:numId w:val="20"/>
        </w:numPr>
        <w:tabs>
          <w:tab w:val="left" w:pos="567"/>
        </w:tabs>
        <w:spacing w:after="120"/>
        <w:ind w:left="851" w:right="-49" w:hanging="425"/>
        <w:jc w:val="both"/>
        <w:rPr>
          <w:rFonts w:asciiTheme="minorHAnsi" w:hAnsiTheme="minorHAnsi" w:cstheme="minorHAnsi"/>
          <w:szCs w:val="24"/>
        </w:rPr>
      </w:pPr>
      <w:r w:rsidRPr="005D5E9F">
        <w:rPr>
          <w:rFonts w:asciiTheme="minorHAnsi" w:hAnsiTheme="minorHAnsi" w:cstheme="minorHAnsi"/>
          <w:szCs w:val="24"/>
        </w:rPr>
        <w:t xml:space="preserve">Zapewnienie dostępu do treści publikacji w wersji elektronicznej na platformie, obsługiwanej przez Wykonawcę. Szczegółowy wykaz tytułów publikacji określony jest w </w:t>
      </w:r>
      <w:r w:rsidRPr="005D5E9F">
        <w:rPr>
          <w:rFonts w:asciiTheme="minorHAnsi" w:hAnsiTheme="minorHAnsi" w:cstheme="minorHAnsi"/>
          <w:b/>
          <w:szCs w:val="24"/>
        </w:rPr>
        <w:t xml:space="preserve">Załączniku nr 1A </w:t>
      </w:r>
      <w:r w:rsidRPr="005D5E9F">
        <w:rPr>
          <w:rFonts w:asciiTheme="minorHAnsi" w:hAnsiTheme="minorHAnsi" w:cstheme="minorHAnsi"/>
          <w:szCs w:val="24"/>
        </w:rPr>
        <w:t xml:space="preserve">do Szczegółowego opisu przedmiotu zamówienia. </w:t>
      </w:r>
    </w:p>
    <w:p w:rsidR="00BB4F96" w:rsidRPr="005D5E9F" w:rsidRDefault="00BB4F96" w:rsidP="00BB4F96">
      <w:pPr>
        <w:pStyle w:val="Akapitzlist"/>
        <w:numPr>
          <w:ilvl w:val="0"/>
          <w:numId w:val="20"/>
        </w:numPr>
        <w:tabs>
          <w:tab w:val="left" w:pos="567"/>
        </w:tabs>
        <w:spacing w:after="120"/>
        <w:ind w:left="851" w:right="-49" w:hanging="425"/>
        <w:jc w:val="both"/>
        <w:rPr>
          <w:rFonts w:asciiTheme="minorHAnsi" w:hAnsiTheme="minorHAnsi" w:cstheme="minorHAnsi"/>
          <w:b/>
          <w:szCs w:val="24"/>
        </w:rPr>
      </w:pPr>
      <w:r w:rsidRPr="005D5E9F">
        <w:rPr>
          <w:rFonts w:asciiTheme="minorHAnsi" w:hAnsiTheme="minorHAnsi" w:cstheme="minorHAnsi"/>
          <w:szCs w:val="24"/>
        </w:rPr>
        <w:t xml:space="preserve">Dostęp do publikacji w wersji elektronicznej będzie przysługiwać maksymalnej liczbie jednoczesnych Autoryzowanych Użytkowników, wskazanej dla każdej pozycji osobno w </w:t>
      </w:r>
      <w:r w:rsidRPr="005D5E9F">
        <w:rPr>
          <w:rFonts w:asciiTheme="minorHAnsi" w:hAnsiTheme="minorHAnsi" w:cstheme="minorHAnsi"/>
          <w:szCs w:val="24"/>
        </w:rPr>
        <w:lastRenderedPageBreak/>
        <w:t>kolumnie „L” o nazwie „</w:t>
      </w:r>
      <w:r w:rsidRPr="005D5E9F">
        <w:rPr>
          <w:rFonts w:asciiTheme="minorHAnsi" w:hAnsiTheme="minorHAnsi" w:cstheme="minorHAnsi"/>
          <w:b/>
          <w:szCs w:val="24"/>
        </w:rPr>
        <w:t>Liczba jednoczesnych dostępów</w:t>
      </w:r>
      <w:r w:rsidRPr="005D5E9F">
        <w:rPr>
          <w:rFonts w:asciiTheme="minorHAnsi" w:hAnsiTheme="minorHAnsi" w:cstheme="minorHAnsi"/>
          <w:szCs w:val="24"/>
        </w:rPr>
        <w:t xml:space="preserve">” dla </w:t>
      </w:r>
      <w:r w:rsidRPr="005D5E9F">
        <w:rPr>
          <w:rFonts w:asciiTheme="minorHAnsi" w:hAnsiTheme="minorHAnsi" w:cstheme="minorHAnsi"/>
          <w:b/>
          <w:szCs w:val="24"/>
        </w:rPr>
        <w:t>Załącznika nr 1A</w:t>
      </w:r>
      <w:r w:rsidRPr="005D5E9F">
        <w:rPr>
          <w:rFonts w:asciiTheme="minorHAnsi" w:hAnsiTheme="minorHAnsi" w:cstheme="minorHAnsi"/>
          <w:szCs w:val="24"/>
        </w:rPr>
        <w:t xml:space="preserve">, przy wykorzystaniu adresów IP (IP: </w:t>
      </w:r>
      <w:r w:rsidRPr="005D5E9F">
        <w:rPr>
          <w:rFonts w:asciiTheme="minorHAnsi" w:hAnsiTheme="minorHAnsi" w:cstheme="minorHAnsi"/>
          <w:b/>
          <w:szCs w:val="24"/>
        </w:rPr>
        <w:t>93.105.88.138</w:t>
      </w:r>
      <w:r w:rsidRPr="005D5E9F">
        <w:rPr>
          <w:rFonts w:asciiTheme="minorHAnsi" w:hAnsiTheme="minorHAnsi" w:cstheme="minorHAnsi"/>
          <w:szCs w:val="24"/>
        </w:rPr>
        <w:t xml:space="preserve">) oraz kodów PIN przekazanych przez Wykonawcę. Dodatkowo Wykonawca zobowiązuje się dostarczać Zamawiającemu indywidualne kody PIN umożliwiające użytkownikom korzystanie z platformy poza siecią Uczelni. Na potrzeby niniejszego przedmiotu zamówienia Zamawiający przyjmuje, że </w:t>
      </w:r>
      <w:r w:rsidRPr="005D5E9F">
        <w:rPr>
          <w:rFonts w:asciiTheme="minorHAnsi" w:hAnsiTheme="minorHAnsi" w:cstheme="minorHAnsi"/>
          <w:szCs w:val="24"/>
          <w:lang w:eastAsia="pl-PL"/>
        </w:rPr>
        <w:t>Autoryzowanymi Użytkownikami są studenci Zamawiającego oraz osoby zatrudnione przez Zamawiającego oraz uczestniczący w wymianie studenckiej oraz naukowej studenci i pracownicy naukowi Zamawiającego, a także inni uprawnieni użytkownicy czytelni.</w:t>
      </w:r>
    </w:p>
    <w:p w:rsidR="00BB4F96" w:rsidRPr="005D5E9F" w:rsidRDefault="00BB4F96" w:rsidP="00BB4F96">
      <w:pPr>
        <w:pStyle w:val="Akapitzlist"/>
        <w:numPr>
          <w:ilvl w:val="0"/>
          <w:numId w:val="20"/>
        </w:numPr>
        <w:tabs>
          <w:tab w:val="left" w:pos="567"/>
        </w:tabs>
        <w:spacing w:after="0" w:line="271" w:lineRule="auto"/>
        <w:ind w:left="850" w:hanging="425"/>
        <w:jc w:val="both"/>
        <w:rPr>
          <w:rFonts w:asciiTheme="minorHAnsi" w:hAnsiTheme="minorHAnsi" w:cstheme="minorHAnsi"/>
          <w:szCs w:val="24"/>
        </w:rPr>
      </w:pPr>
      <w:r w:rsidRPr="005D5E9F">
        <w:rPr>
          <w:rFonts w:asciiTheme="minorHAnsi" w:hAnsiTheme="minorHAnsi" w:cstheme="minorHAnsi"/>
          <w:szCs w:val="24"/>
        </w:rPr>
        <w:t>Zamawiający dopuszcza składanie ofert równoważnych. Każdy Wykonawca składający ofertę równoważną, jest zobowiązany wykazać już w treści przedkładanej przez siebie oferty, że oferowany przez niego przedmiot zamówienia spełnia wymagania i parametry techniczne, funkcjonalne i inne określone przez Zamawiającego, bądź też przewiduje rozwiązania lepsze niż opisywane. Przez równoważność rozumie się to, że oferowany dostęp do oferowanej platformy musi posiadać, co najmniej te same cechy, parametry jakościowe, techniczne i funkcjonalne, użytkowe i inne na poziomie, co najmniej takim jak opisane w Szczegółowym opisie przedmiotu zamówienia. Wykonawca zobowiązany jest wykazać równoważność w treści składanej oferty. Przy oferowaniu rozwiązań innych niż opisane w Szczegółowym opisie przedmiotu zamówienia, Wykonawca musi wykazać szczegółowo w treści oferty ich równoważność z warunkami i wymaganiami opisanymi w Szczegółowym opisie przedmiotu zamówienia.</w:t>
      </w:r>
    </w:p>
    <w:p w:rsidR="00BB4F96" w:rsidRPr="0022133C" w:rsidRDefault="00BB4F96" w:rsidP="00BB4F96">
      <w:pPr>
        <w:pStyle w:val="Akapitzlist"/>
        <w:numPr>
          <w:ilvl w:val="0"/>
          <w:numId w:val="20"/>
        </w:numPr>
        <w:tabs>
          <w:tab w:val="left" w:pos="567"/>
        </w:tabs>
        <w:spacing w:after="0" w:line="271" w:lineRule="auto"/>
        <w:ind w:left="851" w:right="-49" w:hanging="425"/>
        <w:jc w:val="both"/>
        <w:rPr>
          <w:rFonts w:asciiTheme="minorHAnsi" w:hAnsiTheme="minorHAnsi" w:cstheme="minorHAnsi"/>
          <w:szCs w:val="24"/>
        </w:rPr>
      </w:pPr>
      <w:r w:rsidRPr="0022133C">
        <w:rPr>
          <w:rFonts w:asciiTheme="minorHAnsi" w:hAnsiTheme="minorHAnsi" w:cstheme="minorHAnsi"/>
          <w:szCs w:val="24"/>
        </w:rPr>
        <w:t>Zamawiający dopuszcza równoważność w zakresie platformy elektronicznej. Wymagania dotyczące platformy elektronicznej:</w:t>
      </w:r>
    </w:p>
    <w:p w:rsidR="00BB4F96" w:rsidRPr="005D5E9F" w:rsidRDefault="00BB4F96" w:rsidP="00BB4F96">
      <w:pPr>
        <w:pStyle w:val="Akapitzlist"/>
        <w:numPr>
          <w:ilvl w:val="0"/>
          <w:numId w:val="21"/>
        </w:numPr>
        <w:overflowPunct w:val="0"/>
        <w:autoSpaceDE w:val="0"/>
        <w:spacing w:after="0" w:line="271" w:lineRule="auto"/>
        <w:ind w:left="1276"/>
        <w:jc w:val="both"/>
        <w:textAlignment w:val="baseline"/>
        <w:rPr>
          <w:rFonts w:asciiTheme="minorHAnsi" w:hAnsiTheme="minorHAnsi" w:cstheme="minorHAnsi"/>
          <w:szCs w:val="24"/>
        </w:rPr>
      </w:pPr>
      <w:r w:rsidRPr="005D5E9F">
        <w:rPr>
          <w:rFonts w:asciiTheme="minorHAnsi" w:hAnsiTheme="minorHAnsi" w:cstheme="minorHAnsi"/>
          <w:szCs w:val="24"/>
        </w:rPr>
        <w:t>Interfejs platformy powinien mieć możliwość obsługi zarówno w języku polskim, angielskim rosyjskim oraz ukraińskim.</w:t>
      </w:r>
    </w:p>
    <w:p w:rsidR="00BB4F96" w:rsidRPr="005D5E9F" w:rsidRDefault="00BB4F96" w:rsidP="00BB4F96">
      <w:pPr>
        <w:pStyle w:val="Akapitzlist"/>
        <w:numPr>
          <w:ilvl w:val="0"/>
          <w:numId w:val="21"/>
        </w:numPr>
        <w:overflowPunct w:val="0"/>
        <w:autoSpaceDE w:val="0"/>
        <w:spacing w:after="0" w:line="271" w:lineRule="auto"/>
        <w:ind w:left="1276"/>
        <w:jc w:val="both"/>
        <w:textAlignment w:val="baseline"/>
        <w:rPr>
          <w:rFonts w:asciiTheme="minorHAnsi" w:hAnsiTheme="minorHAnsi" w:cstheme="minorHAnsi"/>
          <w:szCs w:val="24"/>
        </w:rPr>
      </w:pPr>
      <w:r w:rsidRPr="005D5E9F">
        <w:rPr>
          <w:rFonts w:asciiTheme="minorHAnsi" w:hAnsiTheme="minorHAnsi" w:cstheme="minorHAnsi"/>
          <w:szCs w:val="24"/>
        </w:rPr>
        <w:t xml:space="preserve">Autoryzowany Użytkownik musi posiadać możliwość wielokrotnego dostępu do publikacji ujętych w Szczegółowym wykazie tytułów publikacji stanowiący </w:t>
      </w:r>
      <w:r w:rsidRPr="005D5E9F">
        <w:rPr>
          <w:rFonts w:asciiTheme="minorHAnsi" w:hAnsiTheme="minorHAnsi" w:cstheme="minorHAnsi"/>
          <w:b/>
          <w:szCs w:val="24"/>
        </w:rPr>
        <w:t>Załącznik nr 1A</w:t>
      </w:r>
      <w:r w:rsidRPr="005D5E9F">
        <w:rPr>
          <w:rFonts w:asciiTheme="minorHAnsi" w:hAnsiTheme="minorHAnsi" w:cstheme="minorHAnsi"/>
          <w:szCs w:val="24"/>
        </w:rPr>
        <w:t xml:space="preserve"> zarówno na urządzeniach stacjonarnych jak i mobilnych;</w:t>
      </w:r>
    </w:p>
    <w:p w:rsidR="00BB4F96" w:rsidRPr="005D5E9F" w:rsidRDefault="00BB4F96" w:rsidP="00BB4F96">
      <w:pPr>
        <w:pStyle w:val="Akapitzlist"/>
        <w:numPr>
          <w:ilvl w:val="0"/>
          <w:numId w:val="21"/>
        </w:numPr>
        <w:overflowPunct w:val="0"/>
        <w:autoSpaceDE w:val="0"/>
        <w:spacing w:after="0" w:line="271" w:lineRule="auto"/>
        <w:ind w:left="1276"/>
        <w:jc w:val="both"/>
        <w:textAlignment w:val="baseline"/>
        <w:rPr>
          <w:rFonts w:asciiTheme="minorHAnsi" w:hAnsiTheme="minorHAnsi" w:cstheme="minorHAnsi"/>
          <w:szCs w:val="24"/>
        </w:rPr>
      </w:pPr>
      <w:r w:rsidRPr="005D5E9F">
        <w:rPr>
          <w:rFonts w:asciiTheme="minorHAnsi" w:hAnsiTheme="minorHAnsi" w:cstheme="minorHAnsi"/>
          <w:szCs w:val="24"/>
        </w:rPr>
        <w:t xml:space="preserve">Wykonawca zagwarantuje co najmniej 5 jednoczesnych dostępów w czasie rzeczywistym do każdej publikacji wskazanej przez Zamawiającego wg </w:t>
      </w:r>
      <w:r w:rsidRPr="005D5E9F">
        <w:rPr>
          <w:rFonts w:asciiTheme="minorHAnsi" w:hAnsiTheme="minorHAnsi" w:cstheme="minorHAnsi"/>
          <w:b/>
          <w:szCs w:val="24"/>
        </w:rPr>
        <w:t>Załącznika nr 1A</w:t>
      </w:r>
      <w:r w:rsidRPr="005D5E9F">
        <w:rPr>
          <w:rFonts w:asciiTheme="minorHAnsi" w:hAnsiTheme="minorHAnsi" w:cstheme="minorHAnsi"/>
          <w:szCs w:val="24"/>
        </w:rPr>
        <w:t>;</w:t>
      </w:r>
    </w:p>
    <w:p w:rsidR="00BB4F96" w:rsidRPr="005D5E9F" w:rsidRDefault="00BB4F96" w:rsidP="00BB4F96">
      <w:pPr>
        <w:pStyle w:val="Akapitzlist"/>
        <w:numPr>
          <w:ilvl w:val="0"/>
          <w:numId w:val="21"/>
        </w:numPr>
        <w:overflowPunct w:val="0"/>
        <w:autoSpaceDE w:val="0"/>
        <w:spacing w:after="0" w:line="271" w:lineRule="auto"/>
        <w:ind w:left="1276"/>
        <w:jc w:val="both"/>
        <w:textAlignment w:val="baseline"/>
        <w:rPr>
          <w:rFonts w:asciiTheme="minorHAnsi" w:hAnsiTheme="minorHAnsi" w:cstheme="minorHAnsi"/>
          <w:szCs w:val="24"/>
        </w:rPr>
      </w:pPr>
      <w:r w:rsidRPr="005D5E9F">
        <w:rPr>
          <w:rFonts w:asciiTheme="minorHAnsi" w:hAnsiTheme="minorHAnsi" w:cstheme="minorHAnsi"/>
          <w:szCs w:val="24"/>
        </w:rPr>
        <w:t>Ważność indywidualnych kodów PIN umożliwiających Autoryzowanym Użytkownikom korzystanie z platformy poza siecią Uczelni musi wynosić co najmniej 12 miesięcy;</w:t>
      </w:r>
    </w:p>
    <w:p w:rsidR="00BB4F96" w:rsidRPr="005D5E9F" w:rsidRDefault="00BB4F96" w:rsidP="00BB4F96">
      <w:pPr>
        <w:pStyle w:val="Akapitzlist"/>
        <w:numPr>
          <w:ilvl w:val="0"/>
          <w:numId w:val="21"/>
        </w:numPr>
        <w:overflowPunct w:val="0"/>
        <w:autoSpaceDE w:val="0"/>
        <w:spacing w:after="0" w:line="271" w:lineRule="auto"/>
        <w:ind w:left="1276"/>
        <w:jc w:val="both"/>
        <w:textAlignment w:val="baseline"/>
        <w:rPr>
          <w:rFonts w:asciiTheme="minorHAnsi" w:hAnsiTheme="minorHAnsi" w:cstheme="minorHAnsi"/>
          <w:szCs w:val="24"/>
        </w:rPr>
      </w:pPr>
      <w:r w:rsidRPr="005D5E9F">
        <w:rPr>
          <w:rFonts w:asciiTheme="minorHAnsi" w:hAnsiTheme="minorHAnsi" w:cstheme="minorHAnsi"/>
          <w:szCs w:val="24"/>
        </w:rPr>
        <w:t>Wykonawca zapewni możliwość Zamawiającemu blokowania poszczególnych indywidualnych kodów PIN, pomimo trwania ich ważności;</w:t>
      </w:r>
    </w:p>
    <w:p w:rsidR="00BB4F96" w:rsidRPr="005D5E9F" w:rsidRDefault="00BB4F96" w:rsidP="00BB4F96">
      <w:pPr>
        <w:pStyle w:val="Akapitzlist"/>
        <w:numPr>
          <w:ilvl w:val="0"/>
          <w:numId w:val="21"/>
        </w:numPr>
        <w:overflowPunct w:val="0"/>
        <w:autoSpaceDE w:val="0"/>
        <w:spacing w:after="0" w:line="271" w:lineRule="auto"/>
        <w:ind w:left="1276"/>
        <w:jc w:val="both"/>
        <w:textAlignment w:val="baseline"/>
        <w:rPr>
          <w:rFonts w:asciiTheme="minorHAnsi" w:hAnsiTheme="minorHAnsi" w:cstheme="minorHAnsi"/>
          <w:szCs w:val="24"/>
        </w:rPr>
      </w:pPr>
      <w:r w:rsidRPr="005D5E9F">
        <w:rPr>
          <w:rFonts w:asciiTheme="minorHAnsi" w:hAnsiTheme="minorHAnsi" w:cstheme="minorHAnsi"/>
          <w:szCs w:val="24"/>
        </w:rPr>
        <w:t>Wykonawca dostarczy Zamawiającemu na jego żądanie pulę kodów PIN nie mniejszą niż 1200 sztuk;</w:t>
      </w:r>
    </w:p>
    <w:p w:rsidR="00BB4F96" w:rsidRPr="005D5E9F" w:rsidRDefault="00BB4F96" w:rsidP="00BB4F96">
      <w:pPr>
        <w:pStyle w:val="Akapitzlist"/>
        <w:numPr>
          <w:ilvl w:val="0"/>
          <w:numId w:val="21"/>
        </w:numPr>
        <w:overflowPunct w:val="0"/>
        <w:autoSpaceDE w:val="0"/>
        <w:spacing w:after="0" w:line="271" w:lineRule="auto"/>
        <w:ind w:left="1276"/>
        <w:jc w:val="both"/>
        <w:textAlignment w:val="baseline"/>
        <w:rPr>
          <w:rFonts w:asciiTheme="minorHAnsi" w:hAnsiTheme="minorHAnsi" w:cstheme="minorHAnsi"/>
          <w:szCs w:val="24"/>
        </w:rPr>
      </w:pPr>
      <w:r w:rsidRPr="005D5E9F">
        <w:rPr>
          <w:rFonts w:asciiTheme="minorHAnsi" w:hAnsiTheme="minorHAnsi" w:cstheme="minorHAnsi"/>
          <w:szCs w:val="24"/>
        </w:rPr>
        <w:t>Platforma musi posiadać funkcję zamknięcia sesji czytania publikacji jeżeli system wykryje dłuższy brak aktywności ze strony Autoryzowanego Użytkownika;</w:t>
      </w:r>
    </w:p>
    <w:p w:rsidR="00BB4F96" w:rsidRPr="005D5E9F" w:rsidRDefault="00BB4F96" w:rsidP="00BB4F96">
      <w:pPr>
        <w:pStyle w:val="Akapitzlist"/>
        <w:numPr>
          <w:ilvl w:val="0"/>
          <w:numId w:val="21"/>
        </w:numPr>
        <w:tabs>
          <w:tab w:val="left" w:pos="567"/>
        </w:tabs>
        <w:spacing w:after="0" w:line="271" w:lineRule="auto"/>
        <w:ind w:left="1134" w:hanging="283"/>
        <w:jc w:val="both"/>
        <w:rPr>
          <w:rFonts w:asciiTheme="minorHAnsi" w:hAnsiTheme="minorHAnsi" w:cstheme="minorHAnsi"/>
          <w:szCs w:val="24"/>
        </w:rPr>
      </w:pPr>
      <w:r w:rsidRPr="005D5E9F">
        <w:rPr>
          <w:rFonts w:asciiTheme="minorHAnsi" w:hAnsiTheme="minorHAnsi" w:cstheme="minorHAnsi"/>
          <w:szCs w:val="24"/>
        </w:rPr>
        <w:t>Wykonawca umożliwi Autoryzowanym Użytkownikom tworzenie na platformie spersonalizowanych kont, na których będą oni mogli tworzyć własne e-półki z publikacjami;</w:t>
      </w:r>
    </w:p>
    <w:p w:rsidR="00BB4F96" w:rsidRPr="005D5E9F" w:rsidRDefault="00BB4F96" w:rsidP="00BB4F96">
      <w:pPr>
        <w:pStyle w:val="Akapitzlist"/>
        <w:numPr>
          <w:ilvl w:val="0"/>
          <w:numId w:val="21"/>
        </w:numPr>
        <w:tabs>
          <w:tab w:val="left" w:pos="567"/>
        </w:tabs>
        <w:spacing w:after="0" w:line="271" w:lineRule="auto"/>
        <w:ind w:left="1134" w:hanging="283"/>
        <w:jc w:val="both"/>
        <w:rPr>
          <w:rFonts w:asciiTheme="minorHAnsi" w:hAnsiTheme="minorHAnsi" w:cstheme="minorHAnsi"/>
          <w:szCs w:val="24"/>
        </w:rPr>
      </w:pPr>
      <w:r w:rsidRPr="005D5E9F">
        <w:rPr>
          <w:rFonts w:asciiTheme="minorHAnsi" w:hAnsiTheme="minorHAnsi" w:cstheme="minorHAnsi"/>
          <w:szCs w:val="24"/>
        </w:rPr>
        <w:t>Autoryzowany użytkownik będzie miał prawo korzystania z zaawansowanych narzędzi pracy z tekstem m.in.:</w:t>
      </w:r>
    </w:p>
    <w:p w:rsidR="00BB4F96" w:rsidRPr="005D5E9F" w:rsidRDefault="00BB4F96" w:rsidP="00BB4F96">
      <w:pPr>
        <w:numPr>
          <w:ilvl w:val="0"/>
          <w:numId w:val="22"/>
        </w:numPr>
        <w:tabs>
          <w:tab w:val="left" w:pos="567"/>
        </w:tabs>
        <w:spacing w:after="0" w:line="271" w:lineRule="auto"/>
        <w:ind w:left="1560" w:hanging="284"/>
        <w:jc w:val="both"/>
        <w:rPr>
          <w:rFonts w:asciiTheme="minorHAnsi" w:hAnsiTheme="minorHAnsi" w:cstheme="minorHAnsi"/>
        </w:rPr>
      </w:pPr>
      <w:r w:rsidRPr="005D5E9F">
        <w:rPr>
          <w:rFonts w:asciiTheme="minorHAnsi" w:hAnsiTheme="minorHAnsi" w:cstheme="minorHAnsi"/>
        </w:rPr>
        <w:t>tworzenia notatek bezpośrednio w książkach,</w:t>
      </w:r>
    </w:p>
    <w:p w:rsidR="00BB4F96" w:rsidRPr="005D5E9F" w:rsidRDefault="00BB4F96" w:rsidP="00BB4F96">
      <w:pPr>
        <w:numPr>
          <w:ilvl w:val="0"/>
          <w:numId w:val="22"/>
        </w:numPr>
        <w:tabs>
          <w:tab w:val="left" w:pos="567"/>
        </w:tabs>
        <w:spacing w:after="0" w:line="271" w:lineRule="auto"/>
        <w:ind w:left="1560" w:hanging="284"/>
        <w:jc w:val="both"/>
        <w:rPr>
          <w:rFonts w:asciiTheme="minorHAnsi" w:hAnsiTheme="minorHAnsi" w:cstheme="minorHAnsi"/>
        </w:rPr>
      </w:pPr>
      <w:proofErr w:type="spellStart"/>
      <w:r w:rsidRPr="005D5E9F">
        <w:rPr>
          <w:rFonts w:asciiTheme="minorHAnsi" w:hAnsiTheme="minorHAnsi" w:cstheme="minorHAnsi"/>
        </w:rPr>
        <w:lastRenderedPageBreak/>
        <w:t>tagowania</w:t>
      </w:r>
      <w:proofErr w:type="spellEnd"/>
      <w:r w:rsidRPr="005D5E9F">
        <w:rPr>
          <w:rFonts w:asciiTheme="minorHAnsi" w:hAnsiTheme="minorHAnsi" w:cstheme="minorHAnsi"/>
        </w:rPr>
        <w:t xml:space="preserve"> ważnych fragmentów w książkach i zaznaczania ich kolorami,</w:t>
      </w:r>
    </w:p>
    <w:p w:rsidR="00BB4F96" w:rsidRPr="005D5E9F" w:rsidRDefault="00BB4F96" w:rsidP="00BB4F96">
      <w:pPr>
        <w:numPr>
          <w:ilvl w:val="0"/>
          <w:numId w:val="22"/>
        </w:numPr>
        <w:tabs>
          <w:tab w:val="left" w:pos="567"/>
        </w:tabs>
        <w:spacing w:after="0" w:line="271" w:lineRule="auto"/>
        <w:ind w:left="1560" w:hanging="284"/>
        <w:jc w:val="both"/>
        <w:rPr>
          <w:rFonts w:asciiTheme="minorHAnsi" w:hAnsiTheme="minorHAnsi" w:cstheme="minorHAnsi"/>
        </w:rPr>
      </w:pPr>
      <w:r w:rsidRPr="005D5E9F">
        <w:rPr>
          <w:rFonts w:asciiTheme="minorHAnsi" w:hAnsiTheme="minorHAnsi" w:cstheme="minorHAnsi"/>
        </w:rPr>
        <w:t>wyszukiwania w podręcznikach słów i fraz,</w:t>
      </w:r>
    </w:p>
    <w:p w:rsidR="00BB4F96" w:rsidRPr="005D5E9F" w:rsidRDefault="00BB4F96" w:rsidP="00BB4F96">
      <w:pPr>
        <w:pStyle w:val="Akapitzlist"/>
        <w:numPr>
          <w:ilvl w:val="0"/>
          <w:numId w:val="21"/>
        </w:numPr>
        <w:tabs>
          <w:tab w:val="left" w:pos="567"/>
        </w:tabs>
        <w:spacing w:after="0" w:line="271" w:lineRule="auto"/>
        <w:ind w:left="1134" w:hanging="283"/>
        <w:jc w:val="both"/>
        <w:rPr>
          <w:rFonts w:asciiTheme="minorHAnsi" w:hAnsiTheme="minorHAnsi" w:cstheme="minorHAnsi"/>
          <w:szCs w:val="24"/>
        </w:rPr>
      </w:pPr>
      <w:r w:rsidRPr="005D5E9F">
        <w:rPr>
          <w:rFonts w:asciiTheme="minorHAnsi" w:hAnsiTheme="minorHAnsi" w:cstheme="minorHAnsi"/>
          <w:szCs w:val="24"/>
        </w:rPr>
        <w:t>Zamawiający będzie miał stały dostęp do panelu służącego do generowania statystyk wykorzystania publikacji, w których rejestrowane będą:</w:t>
      </w:r>
    </w:p>
    <w:p w:rsidR="00BB4F96" w:rsidRPr="005D5E9F" w:rsidRDefault="00BB4F96" w:rsidP="00BB4F96">
      <w:pPr>
        <w:numPr>
          <w:ilvl w:val="0"/>
          <w:numId w:val="23"/>
        </w:numPr>
        <w:tabs>
          <w:tab w:val="left" w:pos="567"/>
        </w:tabs>
        <w:spacing w:after="0" w:line="271" w:lineRule="auto"/>
        <w:ind w:left="1418" w:hanging="153"/>
        <w:jc w:val="both"/>
        <w:rPr>
          <w:rFonts w:asciiTheme="minorHAnsi" w:hAnsiTheme="minorHAnsi" w:cstheme="minorHAnsi"/>
        </w:rPr>
      </w:pPr>
      <w:r w:rsidRPr="005D5E9F">
        <w:rPr>
          <w:rFonts w:asciiTheme="minorHAnsi" w:hAnsiTheme="minorHAnsi" w:cstheme="minorHAnsi"/>
        </w:rPr>
        <w:t>liczba otwarć danego tytułu,</w:t>
      </w:r>
    </w:p>
    <w:p w:rsidR="00BB4F96" w:rsidRPr="005D5E9F" w:rsidRDefault="00BB4F96" w:rsidP="00BB4F96">
      <w:pPr>
        <w:numPr>
          <w:ilvl w:val="0"/>
          <w:numId w:val="23"/>
        </w:numPr>
        <w:tabs>
          <w:tab w:val="left" w:pos="567"/>
        </w:tabs>
        <w:spacing w:after="0" w:line="271" w:lineRule="auto"/>
        <w:ind w:left="1418" w:hanging="153"/>
        <w:jc w:val="both"/>
        <w:rPr>
          <w:rFonts w:asciiTheme="minorHAnsi" w:hAnsiTheme="minorHAnsi" w:cstheme="minorHAnsi"/>
        </w:rPr>
      </w:pPr>
      <w:r w:rsidRPr="005D5E9F">
        <w:rPr>
          <w:rFonts w:asciiTheme="minorHAnsi" w:hAnsiTheme="minorHAnsi" w:cstheme="minorHAnsi"/>
        </w:rPr>
        <w:t>liczba przeczytanych stron danego tytułu,</w:t>
      </w:r>
    </w:p>
    <w:p w:rsidR="00BB4F96" w:rsidRPr="005D5E9F" w:rsidRDefault="00BB4F96" w:rsidP="00BB4F96">
      <w:pPr>
        <w:numPr>
          <w:ilvl w:val="0"/>
          <w:numId w:val="23"/>
        </w:numPr>
        <w:tabs>
          <w:tab w:val="left" w:pos="567"/>
        </w:tabs>
        <w:spacing w:after="0" w:line="271" w:lineRule="auto"/>
        <w:ind w:left="1418" w:hanging="153"/>
        <w:jc w:val="both"/>
        <w:rPr>
          <w:rFonts w:asciiTheme="minorHAnsi" w:hAnsiTheme="minorHAnsi" w:cstheme="minorHAnsi"/>
        </w:rPr>
      </w:pPr>
      <w:r w:rsidRPr="005D5E9F">
        <w:rPr>
          <w:rFonts w:asciiTheme="minorHAnsi" w:hAnsiTheme="minorHAnsi" w:cstheme="minorHAnsi"/>
        </w:rPr>
        <w:t>czas czytania danego tytułu,</w:t>
      </w:r>
    </w:p>
    <w:p w:rsidR="00BB4F96" w:rsidRPr="005D5E9F" w:rsidRDefault="00BB4F96" w:rsidP="00BB4F96">
      <w:pPr>
        <w:numPr>
          <w:ilvl w:val="0"/>
          <w:numId w:val="23"/>
        </w:numPr>
        <w:tabs>
          <w:tab w:val="left" w:pos="567"/>
        </w:tabs>
        <w:spacing w:after="0" w:line="271" w:lineRule="auto"/>
        <w:ind w:left="1418" w:hanging="153"/>
        <w:jc w:val="both"/>
        <w:rPr>
          <w:rFonts w:asciiTheme="minorHAnsi" w:hAnsiTheme="minorHAnsi" w:cstheme="minorHAnsi"/>
        </w:rPr>
      </w:pPr>
      <w:r w:rsidRPr="005D5E9F">
        <w:rPr>
          <w:rFonts w:asciiTheme="minorHAnsi" w:hAnsiTheme="minorHAnsi" w:cstheme="minorHAnsi"/>
        </w:rPr>
        <w:t>liczba nieudanych otwarć,</w:t>
      </w:r>
    </w:p>
    <w:p w:rsidR="00BB4F96" w:rsidRPr="005D5E9F" w:rsidRDefault="00BB4F96" w:rsidP="00BB4F96">
      <w:pPr>
        <w:numPr>
          <w:ilvl w:val="0"/>
          <w:numId w:val="23"/>
        </w:numPr>
        <w:tabs>
          <w:tab w:val="left" w:pos="567"/>
        </w:tabs>
        <w:spacing w:after="0" w:line="271" w:lineRule="auto"/>
        <w:ind w:left="1418" w:hanging="153"/>
        <w:jc w:val="both"/>
        <w:rPr>
          <w:rFonts w:asciiTheme="minorHAnsi" w:hAnsiTheme="minorHAnsi" w:cstheme="minorHAnsi"/>
        </w:rPr>
      </w:pPr>
      <w:r w:rsidRPr="005D5E9F">
        <w:rPr>
          <w:rFonts w:asciiTheme="minorHAnsi" w:hAnsiTheme="minorHAnsi" w:cstheme="minorHAnsi"/>
        </w:rPr>
        <w:t>wykaz tytułów proponowanych przez czytelników do zakupu przez bibliotekę,</w:t>
      </w:r>
    </w:p>
    <w:p w:rsidR="00BB4F96" w:rsidRPr="005D5E9F" w:rsidRDefault="00BB4F96" w:rsidP="00BB4F96">
      <w:pPr>
        <w:numPr>
          <w:ilvl w:val="0"/>
          <w:numId w:val="23"/>
        </w:numPr>
        <w:tabs>
          <w:tab w:val="left" w:pos="567"/>
        </w:tabs>
        <w:spacing w:after="0" w:line="271" w:lineRule="auto"/>
        <w:ind w:left="1418" w:hanging="153"/>
        <w:jc w:val="both"/>
        <w:rPr>
          <w:rFonts w:asciiTheme="minorHAnsi" w:hAnsiTheme="minorHAnsi" w:cstheme="minorHAnsi"/>
        </w:rPr>
      </w:pPr>
      <w:r w:rsidRPr="005D5E9F">
        <w:rPr>
          <w:rFonts w:asciiTheme="minorHAnsi" w:hAnsiTheme="minorHAnsi" w:cstheme="minorHAnsi"/>
        </w:rPr>
        <w:t xml:space="preserve">wykaz tytułów, w których przekroczono maksymalną liczbę jednoczesnych Autoryzowanych Użytkowników, wskazaną do każdej pozycji osobno w kolumnie „L” w </w:t>
      </w:r>
      <w:r w:rsidRPr="005D5E9F">
        <w:rPr>
          <w:rFonts w:asciiTheme="minorHAnsi" w:hAnsiTheme="minorHAnsi" w:cstheme="minorHAnsi"/>
          <w:b/>
        </w:rPr>
        <w:t>Załączniku nr 1A</w:t>
      </w:r>
      <w:r w:rsidRPr="005D5E9F">
        <w:rPr>
          <w:rFonts w:asciiTheme="minorHAnsi" w:hAnsiTheme="minorHAnsi" w:cstheme="minorHAnsi"/>
        </w:rPr>
        <w:t>;</w:t>
      </w:r>
    </w:p>
    <w:p w:rsidR="00BB4F96" w:rsidRPr="005D5E9F" w:rsidRDefault="00BB4F96" w:rsidP="00BB4F96">
      <w:pPr>
        <w:pStyle w:val="Akapitzlist"/>
        <w:numPr>
          <w:ilvl w:val="0"/>
          <w:numId w:val="21"/>
        </w:numPr>
        <w:tabs>
          <w:tab w:val="left" w:pos="567"/>
        </w:tabs>
        <w:spacing w:after="0" w:line="271" w:lineRule="auto"/>
        <w:ind w:left="1134" w:hanging="283"/>
        <w:jc w:val="both"/>
        <w:rPr>
          <w:rFonts w:asciiTheme="minorHAnsi" w:hAnsiTheme="minorHAnsi" w:cstheme="minorHAnsi"/>
          <w:szCs w:val="24"/>
        </w:rPr>
      </w:pPr>
      <w:r w:rsidRPr="005D5E9F">
        <w:rPr>
          <w:rFonts w:asciiTheme="minorHAnsi" w:hAnsiTheme="minorHAnsi" w:cstheme="minorHAnsi"/>
          <w:szCs w:val="24"/>
        </w:rPr>
        <w:t>Zamawiający będzie miał możliwość generowania wybranych danych za dowolny okres statystyczny.</w:t>
      </w:r>
    </w:p>
    <w:p w:rsidR="00BB4F96" w:rsidRPr="0022133C" w:rsidRDefault="00BB4F96" w:rsidP="00BB4F96">
      <w:pPr>
        <w:pStyle w:val="Akapitzlist"/>
        <w:numPr>
          <w:ilvl w:val="0"/>
          <w:numId w:val="20"/>
        </w:numPr>
        <w:tabs>
          <w:tab w:val="left" w:pos="567"/>
        </w:tabs>
        <w:spacing w:after="160" w:line="259" w:lineRule="auto"/>
        <w:ind w:left="850" w:hanging="425"/>
        <w:jc w:val="both"/>
        <w:rPr>
          <w:rFonts w:asciiTheme="minorHAnsi" w:hAnsiTheme="minorHAnsi" w:cstheme="minorHAnsi"/>
          <w:color w:val="000000"/>
        </w:rPr>
      </w:pPr>
      <w:r w:rsidRPr="005D5E9F">
        <w:rPr>
          <w:rFonts w:asciiTheme="minorHAnsi" w:hAnsiTheme="minorHAnsi" w:cstheme="minorHAnsi"/>
          <w:szCs w:val="24"/>
        </w:rPr>
        <w:t xml:space="preserve">Szczegółowy wykaz tytułów publikacji zawarty jest w </w:t>
      </w:r>
      <w:r w:rsidRPr="005D5E9F">
        <w:rPr>
          <w:rFonts w:asciiTheme="minorHAnsi" w:hAnsiTheme="minorHAnsi" w:cstheme="minorHAnsi"/>
          <w:b/>
          <w:szCs w:val="24"/>
        </w:rPr>
        <w:t xml:space="preserve">Załączniku nr 1A </w:t>
      </w:r>
      <w:r w:rsidRPr="005D5E9F">
        <w:rPr>
          <w:rFonts w:asciiTheme="minorHAnsi" w:hAnsiTheme="minorHAnsi" w:cstheme="minorHAnsi"/>
          <w:szCs w:val="24"/>
        </w:rPr>
        <w:t xml:space="preserve">do niniejszego dokumentu. </w:t>
      </w:r>
    </w:p>
    <w:p w:rsidR="00BB4F96" w:rsidRPr="005D5E9F" w:rsidRDefault="00BB4F96" w:rsidP="00BB4F96">
      <w:pPr>
        <w:pStyle w:val="Akapitzlist"/>
        <w:tabs>
          <w:tab w:val="left" w:pos="567"/>
        </w:tabs>
        <w:spacing w:after="160" w:line="259" w:lineRule="auto"/>
        <w:ind w:left="851" w:right="-49"/>
        <w:jc w:val="both"/>
        <w:rPr>
          <w:rFonts w:asciiTheme="minorHAnsi" w:hAnsiTheme="minorHAnsi" w:cstheme="minorHAnsi"/>
          <w:color w:val="000000"/>
        </w:rPr>
      </w:pPr>
    </w:p>
    <w:p w:rsidR="00BB4F96" w:rsidRPr="005D5E9F" w:rsidRDefault="00BB4F96" w:rsidP="00BB4F96">
      <w:pPr>
        <w:pStyle w:val="Akapitzlist"/>
        <w:overflowPunct w:val="0"/>
        <w:autoSpaceDE w:val="0"/>
        <w:spacing w:after="0" w:line="271" w:lineRule="auto"/>
        <w:ind w:left="1134"/>
        <w:jc w:val="both"/>
        <w:textAlignment w:val="baseline"/>
        <w:rPr>
          <w:rFonts w:asciiTheme="minorHAnsi" w:hAnsiTheme="minorHAnsi" w:cstheme="minorHAnsi"/>
        </w:rPr>
      </w:pPr>
      <w:r>
        <w:rPr>
          <w:rFonts w:asciiTheme="minorHAnsi" w:hAnsiTheme="minorHAnsi" w:cstheme="minorHAnsi"/>
          <w:b/>
          <w:bCs/>
          <w:color w:val="3B3B3B"/>
        </w:rPr>
        <w:t>Warunki udziału w postępowaniu</w:t>
      </w:r>
      <w:r w:rsidRPr="005D5E9F">
        <w:rPr>
          <w:rFonts w:asciiTheme="minorHAnsi" w:hAnsiTheme="minorHAnsi" w:cstheme="minorHAnsi"/>
          <w:b/>
          <w:bCs/>
          <w:color w:val="3B3B3B"/>
        </w:rPr>
        <w:t>.</w:t>
      </w:r>
    </w:p>
    <w:p w:rsidR="00BB4F96" w:rsidRPr="005D5E9F" w:rsidRDefault="00BB4F96" w:rsidP="00BB4F96">
      <w:pPr>
        <w:pStyle w:val="Akapitzlist"/>
        <w:numPr>
          <w:ilvl w:val="0"/>
          <w:numId w:val="24"/>
        </w:numPr>
        <w:overflowPunct w:val="0"/>
        <w:autoSpaceDE w:val="0"/>
        <w:spacing w:after="0" w:line="271" w:lineRule="auto"/>
        <w:ind w:left="426" w:hanging="284"/>
        <w:jc w:val="both"/>
        <w:textAlignment w:val="baseline"/>
        <w:rPr>
          <w:rFonts w:asciiTheme="minorHAnsi" w:hAnsiTheme="minorHAnsi" w:cstheme="minorHAnsi"/>
        </w:rPr>
      </w:pPr>
      <w:r w:rsidRPr="005D5E9F">
        <w:rPr>
          <w:rFonts w:asciiTheme="minorHAnsi" w:hAnsiTheme="minorHAnsi" w:cstheme="minorHAnsi"/>
        </w:rPr>
        <w:t>Przedmiot niniejszego postępowania stanowią usługi powszechnie dostępne o ustalonych standardach jakościowych, służące osiągnięciu celu jakim jest dostęp do publikacji naukowych i popularnonaukowych w wersji elektronicznej.</w:t>
      </w:r>
    </w:p>
    <w:p w:rsidR="00BB4F96" w:rsidRPr="005D5E9F" w:rsidRDefault="00BB4F96" w:rsidP="00BB4F96">
      <w:pPr>
        <w:pStyle w:val="Akapitzlist"/>
        <w:numPr>
          <w:ilvl w:val="0"/>
          <w:numId w:val="24"/>
        </w:numPr>
        <w:overflowPunct w:val="0"/>
        <w:autoSpaceDE w:val="0"/>
        <w:spacing w:after="0" w:line="271" w:lineRule="auto"/>
        <w:ind w:left="426" w:hanging="284"/>
        <w:jc w:val="both"/>
        <w:textAlignment w:val="baseline"/>
        <w:rPr>
          <w:rFonts w:asciiTheme="minorHAnsi" w:hAnsiTheme="minorHAnsi" w:cstheme="minorHAnsi"/>
        </w:rPr>
      </w:pPr>
      <w:r w:rsidRPr="005D5E9F">
        <w:rPr>
          <w:rFonts w:asciiTheme="minorHAnsi" w:hAnsiTheme="minorHAnsi" w:cstheme="minorHAnsi"/>
        </w:rPr>
        <w:t xml:space="preserve">Zamawiający wymaga, aby przedmiot zamówienia </w:t>
      </w:r>
      <w:r>
        <w:rPr>
          <w:rFonts w:asciiTheme="minorHAnsi" w:hAnsiTheme="minorHAnsi" w:cstheme="minorHAnsi"/>
        </w:rPr>
        <w:t xml:space="preserve">był </w:t>
      </w:r>
      <w:r w:rsidRPr="005D5E9F">
        <w:rPr>
          <w:rFonts w:asciiTheme="minorHAnsi" w:hAnsiTheme="minorHAnsi" w:cstheme="minorHAnsi"/>
        </w:rPr>
        <w:t xml:space="preserve">zgodny z wymogami określonymi w Szczegółowym opisie przedmiotu zamówienia zawartym w </w:t>
      </w:r>
      <w:r w:rsidRPr="005D5E9F">
        <w:rPr>
          <w:rFonts w:asciiTheme="minorHAnsi" w:hAnsiTheme="minorHAnsi" w:cstheme="minorHAnsi"/>
          <w:b/>
        </w:rPr>
        <w:t>Załączniku nr 1.</w:t>
      </w:r>
    </w:p>
    <w:p w:rsidR="00BB4F96" w:rsidRPr="005D5E9F" w:rsidRDefault="00BB4F96" w:rsidP="00BB4F96">
      <w:pPr>
        <w:pStyle w:val="Akapitzlist"/>
        <w:numPr>
          <w:ilvl w:val="0"/>
          <w:numId w:val="24"/>
        </w:numPr>
        <w:overflowPunct w:val="0"/>
        <w:autoSpaceDE w:val="0"/>
        <w:spacing w:after="0" w:line="271" w:lineRule="auto"/>
        <w:ind w:left="426" w:hanging="284"/>
        <w:jc w:val="both"/>
        <w:textAlignment w:val="baseline"/>
        <w:rPr>
          <w:rFonts w:asciiTheme="minorHAnsi" w:hAnsiTheme="minorHAnsi" w:cstheme="minorHAnsi"/>
        </w:rPr>
      </w:pPr>
      <w:r w:rsidRPr="005D5E9F">
        <w:rPr>
          <w:rFonts w:asciiTheme="minorHAnsi" w:hAnsiTheme="minorHAnsi" w:cstheme="minorHAnsi"/>
        </w:rPr>
        <w:t xml:space="preserve">Zamawiający </w:t>
      </w:r>
      <w:r w:rsidRPr="005D5E9F">
        <w:rPr>
          <w:rFonts w:asciiTheme="minorHAnsi" w:hAnsiTheme="minorHAnsi" w:cstheme="minorHAnsi"/>
          <w:b/>
        </w:rPr>
        <w:t>nie dopuszcza</w:t>
      </w:r>
      <w:r w:rsidRPr="005D5E9F">
        <w:rPr>
          <w:rFonts w:asciiTheme="minorHAnsi" w:hAnsiTheme="minorHAnsi" w:cstheme="minorHAnsi"/>
        </w:rPr>
        <w:t xml:space="preserve"> możliwości składania ofert częściowych.</w:t>
      </w:r>
    </w:p>
    <w:p w:rsidR="00BB4F96" w:rsidRPr="005D5E9F" w:rsidRDefault="00BB4F96" w:rsidP="00BB4F96">
      <w:pPr>
        <w:pStyle w:val="Akapitzlist"/>
        <w:numPr>
          <w:ilvl w:val="0"/>
          <w:numId w:val="24"/>
        </w:numPr>
        <w:overflowPunct w:val="0"/>
        <w:autoSpaceDE w:val="0"/>
        <w:spacing w:after="0" w:line="271" w:lineRule="auto"/>
        <w:ind w:left="426" w:hanging="284"/>
        <w:jc w:val="both"/>
        <w:textAlignment w:val="baseline"/>
        <w:rPr>
          <w:rFonts w:asciiTheme="minorHAnsi" w:hAnsiTheme="minorHAnsi" w:cstheme="minorHAnsi"/>
        </w:rPr>
      </w:pPr>
      <w:r w:rsidRPr="005D5E9F">
        <w:rPr>
          <w:rFonts w:asciiTheme="minorHAnsi" w:hAnsiTheme="minorHAnsi" w:cstheme="minorHAnsi"/>
        </w:rPr>
        <w:t>Wszystkie kwoty należy podawać w walucie polskiej (PLN).</w:t>
      </w:r>
    </w:p>
    <w:p w:rsidR="00BB4F96" w:rsidRPr="005D5E9F" w:rsidRDefault="00BB4F96" w:rsidP="00BB4F96">
      <w:pPr>
        <w:pStyle w:val="Akapitzlist"/>
        <w:numPr>
          <w:ilvl w:val="0"/>
          <w:numId w:val="24"/>
        </w:numPr>
        <w:overflowPunct w:val="0"/>
        <w:autoSpaceDE w:val="0"/>
        <w:spacing w:after="0" w:line="271" w:lineRule="auto"/>
        <w:ind w:left="426" w:hanging="284"/>
        <w:jc w:val="both"/>
        <w:textAlignment w:val="baseline"/>
        <w:rPr>
          <w:rFonts w:asciiTheme="minorHAnsi" w:hAnsiTheme="minorHAnsi" w:cstheme="minorHAnsi"/>
        </w:rPr>
      </w:pPr>
      <w:r w:rsidRPr="005D5E9F">
        <w:rPr>
          <w:rFonts w:asciiTheme="minorHAnsi" w:hAnsiTheme="minorHAnsi" w:cstheme="minorHAnsi"/>
        </w:rPr>
        <w:t>Zamawiający nie przewiduje zamówień uzupełniających.</w:t>
      </w:r>
    </w:p>
    <w:p w:rsidR="00BB4F96" w:rsidRPr="005D5E9F" w:rsidRDefault="00BB4F96" w:rsidP="00BB4F96">
      <w:pPr>
        <w:pStyle w:val="Akapitzlist"/>
        <w:widowControl w:val="0"/>
        <w:numPr>
          <w:ilvl w:val="0"/>
          <w:numId w:val="24"/>
        </w:numPr>
        <w:tabs>
          <w:tab w:val="left" w:pos="5840"/>
        </w:tabs>
        <w:autoSpaceDE w:val="0"/>
        <w:autoSpaceDN w:val="0"/>
        <w:adjustRightInd w:val="0"/>
        <w:spacing w:after="0" w:line="271" w:lineRule="auto"/>
        <w:ind w:left="426" w:right="-20" w:hanging="284"/>
        <w:rPr>
          <w:rFonts w:asciiTheme="minorHAnsi" w:hAnsiTheme="minorHAnsi" w:cstheme="minorHAnsi"/>
          <w:b/>
        </w:rPr>
      </w:pPr>
      <w:r w:rsidRPr="005D5E9F">
        <w:rPr>
          <w:rFonts w:asciiTheme="minorHAnsi" w:hAnsiTheme="minorHAnsi" w:cstheme="minorHAnsi"/>
        </w:rPr>
        <w:t xml:space="preserve">Przedmiot zamówienia według klasyfikacji Wspólnego Słownika Zamówień, </w:t>
      </w:r>
      <w:r w:rsidRPr="005D5E9F">
        <w:rPr>
          <w:rFonts w:asciiTheme="minorHAnsi" w:hAnsiTheme="minorHAnsi" w:cstheme="minorHAnsi"/>
          <w:b/>
          <w:w w:val="102"/>
        </w:rPr>
        <w:t>CPV</w:t>
      </w:r>
      <w:r w:rsidRPr="005D5E9F">
        <w:rPr>
          <w:rFonts w:asciiTheme="minorHAnsi" w:hAnsiTheme="minorHAnsi" w:cstheme="minorHAnsi"/>
          <w:w w:val="102"/>
        </w:rPr>
        <w:t>:</w:t>
      </w:r>
      <w:r w:rsidRPr="005D5E9F">
        <w:rPr>
          <w:rFonts w:asciiTheme="minorHAnsi" w:hAnsiTheme="minorHAnsi" w:cstheme="minorHAnsi"/>
          <w:spacing w:val="-41"/>
        </w:rPr>
        <w:t xml:space="preserve"> </w:t>
      </w:r>
      <w:r w:rsidRPr="005D5E9F">
        <w:rPr>
          <w:rFonts w:asciiTheme="minorHAnsi" w:hAnsiTheme="minorHAnsi" w:cstheme="minorHAnsi"/>
          <w:b/>
        </w:rPr>
        <w:t>72320000-4</w:t>
      </w:r>
      <w:r w:rsidRPr="005D5E9F">
        <w:rPr>
          <w:rFonts w:asciiTheme="minorHAnsi" w:hAnsiTheme="minorHAnsi" w:cstheme="minorHAnsi"/>
          <w:b/>
          <w:spacing w:val="19"/>
        </w:rPr>
        <w:t xml:space="preserve"> </w:t>
      </w:r>
      <w:r w:rsidRPr="005D5E9F">
        <w:rPr>
          <w:rFonts w:asciiTheme="minorHAnsi" w:hAnsiTheme="minorHAnsi" w:cstheme="minorHAnsi"/>
          <w:b/>
        </w:rPr>
        <w:t>Usługi</w:t>
      </w:r>
      <w:r w:rsidRPr="005D5E9F">
        <w:rPr>
          <w:rFonts w:asciiTheme="minorHAnsi" w:hAnsiTheme="minorHAnsi" w:cstheme="minorHAnsi"/>
          <w:b/>
          <w:spacing w:val="15"/>
        </w:rPr>
        <w:t xml:space="preserve"> </w:t>
      </w:r>
      <w:r w:rsidRPr="005D5E9F">
        <w:rPr>
          <w:rFonts w:asciiTheme="minorHAnsi" w:hAnsiTheme="minorHAnsi" w:cstheme="minorHAnsi"/>
          <w:b/>
        </w:rPr>
        <w:t>bazy</w:t>
      </w:r>
      <w:r w:rsidRPr="005D5E9F">
        <w:rPr>
          <w:rFonts w:asciiTheme="minorHAnsi" w:hAnsiTheme="minorHAnsi" w:cstheme="minorHAnsi"/>
          <w:b/>
          <w:spacing w:val="1"/>
        </w:rPr>
        <w:t xml:space="preserve"> </w:t>
      </w:r>
      <w:r w:rsidRPr="005D5E9F">
        <w:rPr>
          <w:rFonts w:asciiTheme="minorHAnsi" w:hAnsiTheme="minorHAnsi" w:cstheme="minorHAnsi"/>
          <w:b/>
          <w:w w:val="101"/>
        </w:rPr>
        <w:t>danyc</w:t>
      </w:r>
      <w:r w:rsidRPr="005D5E9F">
        <w:rPr>
          <w:rFonts w:asciiTheme="minorHAnsi" w:hAnsiTheme="minorHAnsi" w:cstheme="minorHAnsi"/>
          <w:b/>
          <w:spacing w:val="-4"/>
          <w:w w:val="102"/>
        </w:rPr>
        <w:t>h</w:t>
      </w:r>
      <w:r w:rsidRPr="005D5E9F">
        <w:rPr>
          <w:rFonts w:asciiTheme="minorHAnsi" w:hAnsiTheme="minorHAnsi" w:cstheme="minorHAnsi"/>
          <w:b/>
          <w:w w:val="142"/>
        </w:rPr>
        <w:t>.</w:t>
      </w:r>
    </w:p>
    <w:p w:rsidR="00BB4F96" w:rsidRPr="00757410" w:rsidRDefault="00BB4F96" w:rsidP="00BB4F96">
      <w:pPr>
        <w:pStyle w:val="Akapitzlist"/>
        <w:widowControl w:val="0"/>
        <w:numPr>
          <w:ilvl w:val="0"/>
          <w:numId w:val="24"/>
        </w:numPr>
        <w:overflowPunct w:val="0"/>
        <w:autoSpaceDE w:val="0"/>
        <w:autoSpaceDN w:val="0"/>
        <w:adjustRightInd w:val="0"/>
        <w:spacing w:after="0" w:line="271" w:lineRule="auto"/>
        <w:ind w:left="426" w:right="-20" w:hanging="284"/>
        <w:jc w:val="both"/>
        <w:textAlignment w:val="baseline"/>
        <w:rPr>
          <w:rFonts w:asciiTheme="minorHAnsi" w:hAnsiTheme="minorHAnsi" w:cstheme="minorHAnsi"/>
          <w:b/>
          <w:spacing w:val="-2"/>
        </w:rPr>
      </w:pPr>
      <w:r w:rsidRPr="00757410">
        <w:rPr>
          <w:rFonts w:asciiTheme="minorHAnsi" w:hAnsiTheme="minorHAnsi" w:cstheme="minorHAnsi"/>
          <w:spacing w:val="-2"/>
          <w:szCs w:val="24"/>
        </w:rPr>
        <w:t xml:space="preserve">Zamówienie będzie realizowane od dnia podpisania umowy </w:t>
      </w:r>
      <w:r w:rsidR="00774983">
        <w:rPr>
          <w:rFonts w:asciiTheme="minorHAnsi" w:hAnsiTheme="minorHAnsi" w:cstheme="minorHAnsi"/>
          <w:spacing w:val="-2"/>
          <w:szCs w:val="24"/>
        </w:rPr>
        <w:t xml:space="preserve">i będzie trwać najpóźniej </w:t>
      </w:r>
      <w:r w:rsidRPr="00757410">
        <w:rPr>
          <w:rFonts w:asciiTheme="minorHAnsi" w:hAnsiTheme="minorHAnsi" w:cstheme="minorHAnsi"/>
          <w:spacing w:val="-2"/>
          <w:szCs w:val="24"/>
        </w:rPr>
        <w:t xml:space="preserve">do dnia 31 października 2023 r. </w:t>
      </w:r>
      <w:r w:rsidR="00774983">
        <w:rPr>
          <w:rFonts w:asciiTheme="minorHAnsi" w:hAnsiTheme="minorHAnsi" w:cstheme="minorHAnsi"/>
          <w:spacing w:val="-2"/>
          <w:szCs w:val="24"/>
        </w:rPr>
        <w:t>Szczegółowe daty dostępu zostaną określone w umowie.</w:t>
      </w:r>
    </w:p>
    <w:p w:rsidR="00BB4F96" w:rsidRPr="005D5E9F" w:rsidRDefault="00BB4F96" w:rsidP="00BB4F96">
      <w:pPr>
        <w:pStyle w:val="Akapitzlist"/>
        <w:widowControl w:val="0"/>
        <w:numPr>
          <w:ilvl w:val="0"/>
          <w:numId w:val="24"/>
        </w:numPr>
        <w:overflowPunct w:val="0"/>
        <w:autoSpaceDE w:val="0"/>
        <w:autoSpaceDN w:val="0"/>
        <w:adjustRightInd w:val="0"/>
        <w:spacing w:after="0" w:line="271" w:lineRule="auto"/>
        <w:ind w:left="426" w:right="-20" w:hanging="284"/>
        <w:jc w:val="both"/>
        <w:textAlignment w:val="baseline"/>
        <w:rPr>
          <w:rFonts w:asciiTheme="minorHAnsi" w:hAnsiTheme="minorHAnsi" w:cstheme="minorHAnsi"/>
          <w:b/>
        </w:rPr>
      </w:pPr>
      <w:r w:rsidRPr="005D5E9F">
        <w:rPr>
          <w:rFonts w:asciiTheme="minorHAnsi" w:hAnsiTheme="minorHAnsi" w:cstheme="minorHAnsi"/>
          <w:szCs w:val="24"/>
        </w:rPr>
        <w:t xml:space="preserve">Dostęp do wszystkich publikacji wymienionych w </w:t>
      </w:r>
      <w:r w:rsidRPr="005D5E9F">
        <w:rPr>
          <w:rFonts w:asciiTheme="minorHAnsi" w:hAnsiTheme="minorHAnsi" w:cstheme="minorHAnsi"/>
          <w:b/>
          <w:szCs w:val="24"/>
        </w:rPr>
        <w:t>Załączniku nr 1A</w:t>
      </w:r>
      <w:r w:rsidRPr="005D5E9F">
        <w:rPr>
          <w:rFonts w:asciiTheme="minorHAnsi" w:hAnsiTheme="minorHAnsi" w:cstheme="minorHAnsi"/>
          <w:szCs w:val="24"/>
        </w:rPr>
        <w:t xml:space="preserve"> będzie możliwy od dnia podpisania umowy.</w:t>
      </w:r>
    </w:p>
    <w:p w:rsidR="00BB4F96" w:rsidRDefault="00BB4F96" w:rsidP="00BB4F96">
      <w:pPr>
        <w:pStyle w:val="Akapitzlist"/>
        <w:widowControl w:val="0"/>
        <w:numPr>
          <w:ilvl w:val="0"/>
          <w:numId w:val="24"/>
        </w:numPr>
        <w:overflowPunct w:val="0"/>
        <w:autoSpaceDE w:val="0"/>
        <w:autoSpaceDN w:val="0"/>
        <w:adjustRightInd w:val="0"/>
        <w:spacing w:after="0" w:line="271" w:lineRule="auto"/>
        <w:ind w:left="426" w:right="-20" w:hanging="284"/>
        <w:jc w:val="both"/>
        <w:textAlignment w:val="baseline"/>
        <w:rPr>
          <w:rFonts w:asciiTheme="minorHAnsi" w:hAnsiTheme="minorHAnsi" w:cstheme="minorHAnsi"/>
        </w:rPr>
      </w:pPr>
      <w:r w:rsidRPr="005D5E9F">
        <w:rPr>
          <w:rFonts w:asciiTheme="minorHAnsi" w:hAnsiTheme="minorHAnsi" w:cstheme="minorHAnsi"/>
        </w:rPr>
        <w:t>Wycena ma być przedstawiona według Załącznika nr 1A. Wpisana łączna wartość netto i brutto.</w:t>
      </w:r>
    </w:p>
    <w:p w:rsidR="00BB4F96" w:rsidRPr="005D5E9F" w:rsidRDefault="00BB4F96" w:rsidP="00BB4F96">
      <w:pPr>
        <w:pStyle w:val="Akapitzlist"/>
        <w:widowControl w:val="0"/>
        <w:overflowPunct w:val="0"/>
        <w:autoSpaceDE w:val="0"/>
        <w:autoSpaceDN w:val="0"/>
        <w:adjustRightInd w:val="0"/>
        <w:spacing w:after="0" w:line="271" w:lineRule="auto"/>
        <w:ind w:left="426" w:right="-20"/>
        <w:jc w:val="both"/>
        <w:textAlignment w:val="baseline"/>
        <w:rPr>
          <w:rFonts w:asciiTheme="minorHAnsi" w:hAnsiTheme="minorHAnsi" w:cstheme="minorHAnsi"/>
        </w:rPr>
      </w:pPr>
    </w:p>
    <w:p w:rsidR="00BB4F96" w:rsidRPr="005D5E9F" w:rsidRDefault="00BB4F96" w:rsidP="00BB4F96">
      <w:pPr>
        <w:pStyle w:val="Akapitzlist"/>
        <w:widowControl w:val="0"/>
        <w:overflowPunct w:val="0"/>
        <w:autoSpaceDE w:val="0"/>
        <w:autoSpaceDN w:val="0"/>
        <w:adjustRightInd w:val="0"/>
        <w:spacing w:after="0" w:line="271" w:lineRule="auto"/>
        <w:ind w:left="1134" w:right="-20"/>
        <w:jc w:val="both"/>
        <w:textAlignment w:val="baseline"/>
        <w:rPr>
          <w:rFonts w:asciiTheme="minorHAnsi" w:hAnsiTheme="minorHAnsi" w:cstheme="minorHAnsi"/>
        </w:rPr>
      </w:pPr>
    </w:p>
    <w:p w:rsidR="00BB4F96" w:rsidRPr="005D5E9F" w:rsidRDefault="00BB4F96" w:rsidP="00BB4F96">
      <w:pPr>
        <w:pStyle w:val="Akapitzlist"/>
        <w:widowControl w:val="0"/>
        <w:overflowPunct w:val="0"/>
        <w:autoSpaceDE w:val="0"/>
        <w:autoSpaceDN w:val="0"/>
        <w:adjustRightInd w:val="0"/>
        <w:spacing w:after="0" w:line="271" w:lineRule="auto"/>
        <w:ind w:left="1134" w:right="-20"/>
        <w:jc w:val="both"/>
        <w:textAlignment w:val="baseline"/>
        <w:rPr>
          <w:rFonts w:asciiTheme="minorHAnsi" w:hAnsiTheme="minorHAnsi" w:cstheme="minorHAnsi"/>
          <w:b/>
        </w:rPr>
      </w:pPr>
      <w:r w:rsidRPr="005D5E9F">
        <w:rPr>
          <w:rFonts w:asciiTheme="minorHAnsi" w:hAnsiTheme="minorHAnsi" w:cstheme="minorHAnsi"/>
          <w:b/>
          <w:szCs w:val="24"/>
        </w:rPr>
        <w:t>Warunki realizacji przedmiotu zamówienia i sposobu przygotowania oferty:</w:t>
      </w:r>
    </w:p>
    <w:p w:rsidR="00BB4F96" w:rsidRPr="00757410" w:rsidRDefault="00BB4F96" w:rsidP="00BB4F96">
      <w:pPr>
        <w:pStyle w:val="Akapitzlist"/>
        <w:numPr>
          <w:ilvl w:val="0"/>
          <w:numId w:val="25"/>
        </w:numPr>
        <w:suppressAutoHyphens/>
        <w:overflowPunct w:val="0"/>
        <w:autoSpaceDE w:val="0"/>
        <w:spacing w:after="0" w:line="271" w:lineRule="auto"/>
        <w:ind w:left="426" w:hanging="284"/>
        <w:contextualSpacing w:val="0"/>
        <w:jc w:val="both"/>
        <w:rPr>
          <w:rFonts w:asciiTheme="minorHAnsi" w:hAnsiTheme="minorHAnsi" w:cstheme="minorHAnsi"/>
          <w:iCs/>
          <w:spacing w:val="-4"/>
          <w:szCs w:val="24"/>
        </w:rPr>
      </w:pPr>
      <w:r w:rsidRPr="00757410">
        <w:rPr>
          <w:rFonts w:asciiTheme="minorHAnsi" w:hAnsiTheme="minorHAnsi" w:cstheme="minorHAnsi"/>
          <w:iCs/>
          <w:spacing w:val="-4"/>
          <w:szCs w:val="24"/>
        </w:rPr>
        <w:t xml:space="preserve">Realizacja zamówienia odbywać się będzie od dnia podpisania umowy </w:t>
      </w:r>
      <w:r w:rsidR="00774983">
        <w:rPr>
          <w:rFonts w:asciiTheme="minorHAnsi" w:hAnsiTheme="minorHAnsi" w:cstheme="minorHAnsi"/>
          <w:iCs/>
          <w:spacing w:val="-4"/>
          <w:szCs w:val="24"/>
        </w:rPr>
        <w:t xml:space="preserve">i będzie trwać najpóźniej </w:t>
      </w:r>
      <w:r w:rsidRPr="00757410">
        <w:rPr>
          <w:rFonts w:asciiTheme="minorHAnsi" w:hAnsiTheme="minorHAnsi" w:cstheme="minorHAnsi"/>
          <w:iCs/>
          <w:spacing w:val="-4"/>
          <w:szCs w:val="24"/>
        </w:rPr>
        <w:t xml:space="preserve">do dnia 31.10.2023 r. </w:t>
      </w:r>
      <w:r w:rsidR="00774983">
        <w:rPr>
          <w:rFonts w:asciiTheme="minorHAnsi" w:hAnsiTheme="minorHAnsi" w:cstheme="minorHAnsi"/>
          <w:iCs/>
          <w:spacing w:val="-4"/>
          <w:szCs w:val="24"/>
        </w:rPr>
        <w:t>Szczegółowe daty dostępu zostaną określone w umowie.</w:t>
      </w:r>
    </w:p>
    <w:p w:rsidR="00BB4F96" w:rsidRPr="005D5E9F" w:rsidRDefault="00BB4F96" w:rsidP="00BB4F96">
      <w:pPr>
        <w:pStyle w:val="Akapitzlist"/>
        <w:numPr>
          <w:ilvl w:val="0"/>
          <w:numId w:val="25"/>
        </w:numPr>
        <w:suppressAutoHyphens/>
        <w:overflowPunct w:val="0"/>
        <w:autoSpaceDE w:val="0"/>
        <w:spacing w:after="0" w:line="271" w:lineRule="auto"/>
        <w:ind w:left="426" w:hanging="284"/>
        <w:contextualSpacing w:val="0"/>
        <w:jc w:val="both"/>
        <w:rPr>
          <w:rFonts w:asciiTheme="minorHAnsi" w:hAnsiTheme="minorHAnsi" w:cstheme="minorHAnsi"/>
          <w:iCs/>
          <w:szCs w:val="24"/>
        </w:rPr>
      </w:pPr>
      <w:r w:rsidRPr="005D5E9F">
        <w:rPr>
          <w:rFonts w:asciiTheme="minorHAnsi" w:hAnsiTheme="minorHAnsi"/>
          <w:szCs w:val="24"/>
        </w:rPr>
        <w:t>Wartość szacunkową należy skalkulować tak, aby obejmowała wszystkie koszty, jakie Wykonawca będzie musiał ponieść przy realizacji zamówienia, z uwzględnieniem podatku VAT, innych opłat i podatków, kosztów transportu, uwzględniając ewentualne upusty</w:t>
      </w:r>
      <w:r>
        <w:rPr>
          <w:rFonts w:asciiTheme="minorHAnsi" w:hAnsiTheme="minorHAnsi"/>
          <w:szCs w:val="24"/>
        </w:rPr>
        <w:br/>
      </w:r>
      <w:r w:rsidRPr="005D5E9F">
        <w:rPr>
          <w:rFonts w:asciiTheme="minorHAnsi" w:hAnsiTheme="minorHAnsi"/>
          <w:szCs w:val="24"/>
        </w:rPr>
        <w:t xml:space="preserve">i rabaty, które muszą być wliczone w cenę netto. </w:t>
      </w:r>
    </w:p>
    <w:p w:rsidR="00BB4F96" w:rsidRPr="005D5E9F" w:rsidRDefault="00BB4F96" w:rsidP="00BB4F96">
      <w:pPr>
        <w:pStyle w:val="Akapitzlist"/>
        <w:numPr>
          <w:ilvl w:val="0"/>
          <w:numId w:val="25"/>
        </w:numPr>
        <w:suppressAutoHyphens/>
        <w:overflowPunct w:val="0"/>
        <w:autoSpaceDE w:val="0"/>
        <w:spacing w:after="0" w:line="271" w:lineRule="auto"/>
        <w:ind w:left="426" w:hanging="284"/>
        <w:contextualSpacing w:val="0"/>
        <w:jc w:val="both"/>
        <w:rPr>
          <w:rFonts w:asciiTheme="minorHAnsi" w:hAnsiTheme="minorHAnsi" w:cstheme="minorHAnsi"/>
          <w:iCs/>
          <w:szCs w:val="24"/>
        </w:rPr>
      </w:pPr>
      <w:r w:rsidRPr="005D5E9F">
        <w:rPr>
          <w:rFonts w:asciiTheme="minorHAnsi" w:hAnsiTheme="minorHAnsi"/>
          <w:szCs w:val="24"/>
        </w:rPr>
        <w:lastRenderedPageBreak/>
        <w:t xml:space="preserve">Informację określającą szacunkową wartość usługi należy odesłać do dnia </w:t>
      </w:r>
      <w:r w:rsidR="005D5285">
        <w:rPr>
          <w:rFonts w:asciiTheme="minorHAnsi" w:hAnsiTheme="minorHAnsi"/>
          <w:b/>
          <w:spacing w:val="-8"/>
          <w:szCs w:val="24"/>
        </w:rPr>
        <w:t>23</w:t>
      </w:r>
      <w:r w:rsidRPr="005D5E9F">
        <w:rPr>
          <w:rFonts w:asciiTheme="minorHAnsi" w:hAnsiTheme="minorHAnsi"/>
          <w:b/>
          <w:spacing w:val="-8"/>
          <w:szCs w:val="24"/>
        </w:rPr>
        <w:t>.04.2021 r,</w:t>
      </w:r>
      <w:r w:rsidRPr="005D5E9F">
        <w:rPr>
          <w:rFonts w:asciiTheme="minorHAnsi" w:hAnsiTheme="minorHAnsi"/>
          <w:b/>
          <w:szCs w:val="24"/>
        </w:rPr>
        <w:t xml:space="preserve"> godz. 12:00</w:t>
      </w:r>
      <w:r w:rsidR="005D5285">
        <w:rPr>
          <w:rFonts w:asciiTheme="minorHAnsi" w:hAnsiTheme="minorHAnsi"/>
          <w:b/>
          <w:szCs w:val="24"/>
        </w:rPr>
        <w:t xml:space="preserve"> </w:t>
      </w:r>
      <w:bookmarkStart w:id="0" w:name="_GoBack"/>
      <w:bookmarkEnd w:id="0"/>
      <w:r w:rsidRPr="005D5E9F">
        <w:rPr>
          <w:rFonts w:asciiTheme="minorHAnsi" w:hAnsiTheme="minorHAnsi"/>
          <w:szCs w:val="24"/>
        </w:rPr>
        <w:t xml:space="preserve">na wskazany adres mailowy: </w:t>
      </w:r>
      <w:r w:rsidRPr="005D5E9F">
        <w:rPr>
          <w:rFonts w:asciiTheme="minorHAnsi" w:hAnsiTheme="minorHAnsi"/>
          <w:b/>
          <w:szCs w:val="24"/>
        </w:rPr>
        <w:t>b.wiktorska@chat.edu.pl</w:t>
      </w:r>
    </w:p>
    <w:p w:rsidR="00BB4F96" w:rsidRPr="00757410" w:rsidRDefault="00BB4F96" w:rsidP="00BB4F96">
      <w:pPr>
        <w:pStyle w:val="Akapitzlist"/>
        <w:numPr>
          <w:ilvl w:val="0"/>
          <w:numId w:val="25"/>
        </w:numPr>
        <w:suppressAutoHyphens/>
        <w:overflowPunct w:val="0"/>
        <w:autoSpaceDE w:val="0"/>
        <w:spacing w:after="0" w:line="271" w:lineRule="auto"/>
        <w:ind w:left="426" w:hanging="284"/>
        <w:contextualSpacing w:val="0"/>
        <w:jc w:val="both"/>
        <w:rPr>
          <w:rFonts w:asciiTheme="minorHAnsi" w:hAnsiTheme="minorHAnsi" w:cstheme="minorHAnsi"/>
          <w:iCs/>
          <w:szCs w:val="24"/>
        </w:rPr>
      </w:pPr>
      <w:r w:rsidRPr="005D5E9F">
        <w:rPr>
          <w:rFonts w:asciiTheme="minorHAnsi" w:hAnsiTheme="minorHAnsi"/>
          <w:szCs w:val="24"/>
        </w:rPr>
        <w:t>Dodatkowych informacji można uzyskać pod adresem e-mail:</w:t>
      </w:r>
    </w:p>
    <w:p w:rsidR="00BB4F96" w:rsidRPr="005D5E9F" w:rsidRDefault="00BB4F96" w:rsidP="00BB4F96">
      <w:pPr>
        <w:pStyle w:val="Akapitzlist"/>
        <w:suppressAutoHyphens/>
        <w:overflowPunct w:val="0"/>
        <w:autoSpaceDE w:val="0"/>
        <w:spacing w:after="0" w:line="271" w:lineRule="auto"/>
        <w:ind w:left="426"/>
        <w:contextualSpacing w:val="0"/>
        <w:jc w:val="both"/>
        <w:rPr>
          <w:rFonts w:asciiTheme="minorHAnsi" w:hAnsiTheme="minorHAnsi" w:cstheme="minorHAnsi"/>
          <w:iCs/>
          <w:szCs w:val="24"/>
        </w:rPr>
      </w:pPr>
      <w:r w:rsidRPr="005D5E9F">
        <w:rPr>
          <w:rFonts w:asciiTheme="minorHAnsi" w:hAnsiTheme="minorHAnsi"/>
          <w:b/>
          <w:szCs w:val="24"/>
        </w:rPr>
        <w:t>a.martynowicz@chat.edu.pl</w:t>
      </w:r>
    </w:p>
    <w:p w:rsidR="00BB4F96" w:rsidRPr="005D5E9F" w:rsidRDefault="00BB4F96" w:rsidP="00BB4F96">
      <w:pPr>
        <w:pStyle w:val="Akapitzlist"/>
        <w:numPr>
          <w:ilvl w:val="0"/>
          <w:numId w:val="25"/>
        </w:numPr>
        <w:tabs>
          <w:tab w:val="left" w:pos="5745"/>
          <w:tab w:val="left" w:pos="6381"/>
          <w:tab w:val="left" w:pos="7090"/>
          <w:tab w:val="left" w:pos="7799"/>
          <w:tab w:val="left" w:pos="8508"/>
        </w:tabs>
        <w:suppressAutoHyphens/>
        <w:overflowPunct w:val="0"/>
        <w:autoSpaceDE w:val="0"/>
        <w:spacing w:after="0" w:line="271" w:lineRule="auto"/>
        <w:ind w:left="426" w:hanging="284"/>
        <w:contextualSpacing w:val="0"/>
        <w:jc w:val="both"/>
        <w:rPr>
          <w:rFonts w:asciiTheme="minorHAnsi" w:hAnsiTheme="minorHAnsi" w:cstheme="minorHAnsi"/>
          <w:szCs w:val="24"/>
        </w:rPr>
      </w:pPr>
      <w:r w:rsidRPr="005D5E9F">
        <w:rPr>
          <w:rFonts w:asciiTheme="minorHAnsi" w:hAnsiTheme="minorHAnsi" w:cs="Arial"/>
          <w:szCs w:val="24"/>
        </w:rPr>
        <w:t>Chrześcijańska Akademia Teologiczna w Warszawie, ul. Broniewskiego 48,</w:t>
      </w:r>
      <w:r>
        <w:rPr>
          <w:rFonts w:asciiTheme="minorHAnsi" w:hAnsiTheme="minorHAnsi" w:cs="Arial"/>
          <w:szCs w:val="24"/>
        </w:rPr>
        <w:t xml:space="preserve"> </w:t>
      </w:r>
      <w:r w:rsidRPr="005D5E9F">
        <w:rPr>
          <w:rFonts w:asciiTheme="minorHAnsi" w:hAnsiTheme="minorHAnsi" w:cs="Arial"/>
          <w:szCs w:val="24"/>
        </w:rPr>
        <w:t xml:space="preserve">01-771 Warszawa </w:t>
      </w:r>
      <w:r w:rsidRPr="005D5E9F">
        <w:rPr>
          <w:rFonts w:asciiTheme="minorHAnsi" w:hAnsiTheme="minorHAnsi" w:cs="Arial"/>
          <w:szCs w:val="24"/>
          <w:lang w:eastAsia="pl-PL"/>
        </w:rPr>
        <w:t>oświadcza i informuje, że niniejsze zapytanie  ma wyłącz</w:t>
      </w:r>
      <w:r w:rsidRPr="005D5E9F">
        <w:rPr>
          <w:rFonts w:asciiTheme="minorHAnsi" w:hAnsiTheme="minorHAnsi" w:cs="Arial"/>
          <w:szCs w:val="24"/>
        </w:rPr>
        <w:t>nie charakter szacunku w celu ustalenia wartości zamówienia na potrzeby ogłoszenia i realizacji postępowania przetargowego w trybie podstawowym.</w:t>
      </w:r>
    </w:p>
    <w:p w:rsidR="00E27786" w:rsidRPr="00AB57BE" w:rsidRDefault="00E27786" w:rsidP="006D7678">
      <w:pPr>
        <w:spacing w:after="0" w:line="240" w:lineRule="auto"/>
        <w:jc w:val="right"/>
        <w:rPr>
          <w:rFonts w:ascii="Lato" w:hAnsi="Lato" w:cs="Lato"/>
        </w:rPr>
      </w:pPr>
    </w:p>
    <w:sectPr w:rsidR="00E27786" w:rsidRPr="00AB57BE" w:rsidSect="00F00B6D">
      <w:headerReference w:type="default" r:id="rId7"/>
      <w:footerReference w:type="even"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2D71" w:rsidRDefault="00352D71" w:rsidP="00FF1B8F">
      <w:pPr>
        <w:spacing w:after="0" w:line="240" w:lineRule="auto"/>
      </w:pPr>
      <w:r>
        <w:separator/>
      </w:r>
    </w:p>
  </w:endnote>
  <w:endnote w:type="continuationSeparator" w:id="0">
    <w:p w:rsidR="00352D71" w:rsidRDefault="00352D71" w:rsidP="00FF1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Lato">
    <w:altName w:val="Calibri"/>
    <w:charset w:val="EE"/>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CA7" w:rsidRDefault="00D52F45">
    <w:pPr>
      <w:pStyle w:val="Stopka"/>
    </w:pPr>
    <w:r>
      <w:rPr>
        <w:rFonts w:ascii="Times New Roman" w:hAnsi="Times New Roman" w:cs="Times New Roman"/>
        <w:b/>
        <w:bCs/>
        <w:noProof/>
        <w:sz w:val="20"/>
        <w:szCs w:val="20"/>
        <w:lang w:eastAsia="pl-PL"/>
      </w:rPr>
      <w:drawing>
        <wp:inline distT="0" distB="0" distL="0" distR="0">
          <wp:extent cx="5753100" cy="647700"/>
          <wp:effectExtent l="0" t="0" r="0" b="0"/>
          <wp:docPr id="2" name="Obraz 2" descr="logo stopka do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topka dol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6477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290" w:rsidRPr="00B32246" w:rsidRDefault="00D83086" w:rsidP="00724B55">
    <w:pPr>
      <w:pStyle w:val="Stopka"/>
    </w:pPr>
    <w:r>
      <w:rPr>
        <w:rFonts w:ascii="Times New Roman" w:hAnsi="Times New Roman" w:cs="Times New Roman"/>
        <w:b/>
        <w:bCs/>
        <w:sz w:val="20"/>
        <w:szCs w:val="20"/>
      </w:rPr>
      <w:tab/>
    </w:r>
    <w:r w:rsidR="00D52F45">
      <w:rPr>
        <w:rFonts w:ascii="Times New Roman" w:hAnsi="Times New Roman" w:cs="Times New Roman"/>
        <w:b/>
        <w:bCs/>
        <w:noProof/>
        <w:sz w:val="20"/>
        <w:szCs w:val="20"/>
        <w:lang w:eastAsia="pl-PL"/>
      </w:rPr>
      <w:drawing>
        <wp:inline distT="0" distB="0" distL="0" distR="0">
          <wp:extent cx="5753100" cy="647700"/>
          <wp:effectExtent l="0" t="0" r="0" b="0"/>
          <wp:docPr id="3" name="Obraz 3" descr="logo stopka do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stopka dol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647700"/>
                  </a:xfrm>
                  <a:prstGeom prst="rect">
                    <a:avLst/>
                  </a:prstGeom>
                  <a:noFill/>
                  <a:ln>
                    <a:noFill/>
                  </a:ln>
                </pic:spPr>
              </pic:pic>
            </a:graphicData>
          </a:graphic>
        </wp:inline>
      </w:drawing>
    </w:r>
    <w:r>
      <w:rPr>
        <w:rFonts w:ascii="Times New Roman" w:hAnsi="Times New Roman" w:cs="Times New Roman"/>
        <w:b/>
        <w:bCs/>
        <w:sz w:val="20"/>
        <w:szCs w:val="20"/>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2D71" w:rsidRDefault="00352D71" w:rsidP="00FF1B8F">
      <w:pPr>
        <w:spacing w:after="0" w:line="240" w:lineRule="auto"/>
      </w:pPr>
      <w:r>
        <w:separator/>
      </w:r>
    </w:p>
  </w:footnote>
  <w:footnote w:type="continuationSeparator" w:id="0">
    <w:p w:rsidR="00352D71" w:rsidRDefault="00352D71" w:rsidP="00FF1B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3E7" w:rsidRDefault="00D52F45" w:rsidP="005B1CA7">
    <w:pPr>
      <w:pStyle w:val="Nagwek"/>
      <w:tabs>
        <w:tab w:val="clear" w:pos="4536"/>
        <w:tab w:val="center" w:pos="0"/>
      </w:tabs>
    </w:pPr>
    <w:r>
      <w:rPr>
        <w:rFonts w:ascii="Times New Roman" w:hAnsi="Times New Roman"/>
        <w:b/>
        <w:noProof/>
        <w:lang w:eastAsia="pl-PL"/>
      </w:rPr>
      <w:drawing>
        <wp:inline distT="0" distB="0" distL="0" distR="0">
          <wp:extent cx="5762625" cy="742950"/>
          <wp:effectExtent l="0" t="0" r="9525" b="0"/>
          <wp:docPr id="1" name="Obraz 1" descr="logo naglow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aglowe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742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multilevel"/>
    <w:tmpl w:val="30940E12"/>
    <w:lvl w:ilvl="0">
      <w:start w:val="1"/>
      <w:numFmt w:val="decimal"/>
      <w:lvlText w:val="%1."/>
      <w:lvlJc w:val="left"/>
      <w:pPr>
        <w:tabs>
          <w:tab w:val="num" w:pos="360"/>
        </w:tabs>
        <w:ind w:left="360" w:hanging="360"/>
      </w:pPr>
      <w:rPr>
        <w:rFonts w:asciiTheme="minorHAnsi" w:eastAsia="Times New Roman" w:hAnsiTheme="minorHAnsi" w:cs="Times New Roman"/>
        <w:b/>
        <w:bCs w:val="0"/>
        <w:i w:val="0"/>
        <w:iCs w:val="0"/>
        <w:caps w:val="0"/>
        <w:smallCaps w:val="0"/>
        <w:strike w:val="0"/>
        <w:dstrike w:val="0"/>
        <w:noProof w:val="0"/>
        <w:vanish w:val="0"/>
        <w:color w:val="000000"/>
        <w:spacing w:val="0"/>
        <w:kern w:val="0"/>
        <w:position w:val="0"/>
        <w:sz w:val="4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gwek2Noma"/>
      <w:lvlText w:val="%1.%2."/>
      <w:lvlJc w:val="left"/>
      <w:pPr>
        <w:ind w:left="1146"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gwek3Noma"/>
      <w:isLgl/>
      <w:lvlText w:val="%1.%2.%3."/>
      <w:lvlJc w:val="left"/>
      <w:pPr>
        <w:ind w:left="1800" w:hanging="1080"/>
      </w:pPr>
      <w:rPr>
        <w:rFonts w:hint="default"/>
        <w:sz w:val="22"/>
      </w:rPr>
    </w:lvl>
    <w:lvl w:ilvl="3">
      <w:start w:val="1"/>
      <w:numFmt w:val="decimal"/>
      <w:pStyle w:val="Nagwek4Noma"/>
      <w:isLgl/>
      <w:lvlText w:val="%1.%2.%3.%4."/>
      <w:lvlJc w:val="left"/>
      <w:pPr>
        <w:ind w:left="2160" w:hanging="1080"/>
      </w:pPr>
      <w:rPr>
        <w:rFonts w:hint="default"/>
      </w:rPr>
    </w:lvl>
    <w:lvl w:ilvl="4">
      <w:start w:val="1"/>
      <w:numFmt w:val="decimal"/>
      <w:pStyle w:val="Nagwek5Noma"/>
      <w:isLgl/>
      <w:lvlText w:val="%1.%2.%3.%4.%5."/>
      <w:lvlJc w:val="left"/>
      <w:pPr>
        <w:ind w:left="2880" w:hanging="1440"/>
      </w:pPr>
      <w:rPr>
        <w:rFonts w:hint="default"/>
      </w:rPr>
    </w:lvl>
    <w:lvl w:ilvl="5">
      <w:start w:val="1"/>
      <w:numFmt w:val="decimal"/>
      <w:pStyle w:val="Nagwek6Noma"/>
      <w:isLgl/>
      <w:lvlText w:val="%1.%2.%3.%4.%5.%6."/>
      <w:lvlJc w:val="left"/>
      <w:pPr>
        <w:ind w:left="3600" w:hanging="1800"/>
      </w:pPr>
      <w:rPr>
        <w:rFonts w:hint="default"/>
      </w:rPr>
    </w:lvl>
    <w:lvl w:ilvl="6">
      <w:start w:val="1"/>
      <w:numFmt w:val="decimal"/>
      <w:isLgl/>
      <w:lvlText w:val="%1.%2.%3.%4.%5.%6.%7."/>
      <w:lvlJc w:val="left"/>
      <w:pPr>
        <w:ind w:left="4320" w:hanging="216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400" w:hanging="2520"/>
      </w:pPr>
      <w:rPr>
        <w:rFonts w:hint="default"/>
      </w:rPr>
    </w:lvl>
  </w:abstractNum>
  <w:abstractNum w:abstractNumId="1" w15:restartNumberingAfterBreak="0">
    <w:nsid w:val="00000017"/>
    <w:multiLevelType w:val="multilevel"/>
    <w:tmpl w:val="8430B34E"/>
    <w:lvl w:ilvl="0">
      <w:start w:val="1"/>
      <w:numFmt w:val="decimal"/>
      <w:pStyle w:val="siwzpoziom3"/>
      <w:lvlText w:val="%1."/>
      <w:lvlJc w:val="left"/>
      <w:pPr>
        <w:tabs>
          <w:tab w:val="num" w:pos="284"/>
        </w:tabs>
        <w:ind w:left="567" w:hanging="283"/>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2"/>
        <w:szCs w:val="22"/>
        <w:u w:val="none" w:color="000000"/>
        <w:effect w:val="none"/>
        <w:vertAlign w:val="baseline"/>
      </w:rPr>
    </w:lvl>
    <w:lvl w:ilvl="1">
      <w:start w:val="1"/>
      <w:numFmt w:val="decimal"/>
      <w:lvlText w:val="%2."/>
      <w:lvlJc w:val="left"/>
      <w:pPr>
        <w:tabs>
          <w:tab w:val="num" w:pos="284"/>
        </w:tabs>
        <w:ind w:left="567" w:hanging="283"/>
      </w:pPr>
      <w:rPr>
        <w:rFonts w:hint="default"/>
      </w:rPr>
    </w:lvl>
    <w:lvl w:ilvl="2">
      <w:start w:val="1"/>
      <w:numFmt w:val="lowerLetter"/>
      <w:pStyle w:val="siwzpoziom3"/>
      <w:lvlText w:val="%3)"/>
      <w:lvlJc w:val="left"/>
      <w:pPr>
        <w:tabs>
          <w:tab w:val="num" w:pos="737"/>
        </w:tabs>
        <w:ind w:left="964" w:hanging="284"/>
      </w:pPr>
      <w:rPr>
        <w:rFonts w:ascii="Arial" w:hAnsi="Arial" w:cs="Arial" w:hint="default"/>
        <w:b w:val="0"/>
        <w:bCs w:val="0"/>
        <w:i w:val="0"/>
        <w:iCs w:val="0"/>
        <w:sz w:val="22"/>
        <w:szCs w:val="22"/>
      </w:rPr>
    </w:lvl>
    <w:lvl w:ilvl="3">
      <w:start w:val="1"/>
      <w:numFmt w:val="lowerLetter"/>
      <w:lvlText w:val="%4)"/>
      <w:lvlJc w:val="left"/>
      <w:pPr>
        <w:tabs>
          <w:tab w:val="num" w:pos="360"/>
        </w:tabs>
      </w:pPr>
      <w:rPr>
        <w:rFonts w:hint="default"/>
      </w:rPr>
    </w:lvl>
    <w:lvl w:ilvl="4">
      <w:start w:val="1"/>
      <w:numFmt w:val="decimal"/>
      <w:lvlText w:val="(%5)"/>
      <w:lvlJc w:val="left"/>
      <w:pPr>
        <w:tabs>
          <w:tab w:val="num" w:pos="360"/>
        </w:tabs>
      </w:pPr>
      <w:rPr>
        <w:rFonts w:hint="default"/>
      </w:rPr>
    </w:lvl>
    <w:lvl w:ilvl="5">
      <w:start w:val="1"/>
      <w:numFmt w:val="lowerLetter"/>
      <w:lvlText w:val="(%6)"/>
      <w:lvlJc w:val="left"/>
      <w:pPr>
        <w:tabs>
          <w:tab w:val="num" w:pos="3960"/>
        </w:tabs>
      </w:pPr>
      <w:rPr>
        <w:rFonts w:hint="default"/>
      </w:rPr>
    </w:lvl>
    <w:lvl w:ilvl="6">
      <w:start w:val="1"/>
      <w:numFmt w:val="lowerRoman"/>
      <w:lvlText w:val="(%7)"/>
      <w:lvlJc w:val="left"/>
      <w:pPr>
        <w:tabs>
          <w:tab w:val="num" w:pos="4680"/>
        </w:tabs>
      </w:pPr>
      <w:rPr>
        <w:rFonts w:hint="default"/>
      </w:rPr>
    </w:lvl>
    <w:lvl w:ilvl="7">
      <w:start w:val="1"/>
      <w:numFmt w:val="lowerLetter"/>
      <w:lvlText w:val="(%8)"/>
      <w:lvlJc w:val="left"/>
      <w:pPr>
        <w:tabs>
          <w:tab w:val="num" w:pos="5400"/>
        </w:tabs>
      </w:pPr>
      <w:rPr>
        <w:rFonts w:hint="default"/>
      </w:rPr>
    </w:lvl>
    <w:lvl w:ilvl="8">
      <w:start w:val="1"/>
      <w:numFmt w:val="lowerRoman"/>
      <w:lvlText w:val="(%9)"/>
      <w:lvlJc w:val="left"/>
      <w:pPr>
        <w:tabs>
          <w:tab w:val="num" w:pos="6120"/>
        </w:tabs>
      </w:pPr>
      <w:rPr>
        <w:rFonts w:hint="default"/>
      </w:rPr>
    </w:lvl>
  </w:abstractNum>
  <w:abstractNum w:abstractNumId="2" w15:restartNumberingAfterBreak="0">
    <w:nsid w:val="00EE4C39"/>
    <w:multiLevelType w:val="hybridMultilevel"/>
    <w:tmpl w:val="C0AE58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B061451"/>
    <w:multiLevelType w:val="hybridMultilevel"/>
    <w:tmpl w:val="44A61D04"/>
    <w:lvl w:ilvl="0" w:tplc="0415001B">
      <w:start w:val="1"/>
      <w:numFmt w:val="lowerRoman"/>
      <w:lvlText w:val="%1."/>
      <w:lvlJc w:val="righ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 w15:restartNumberingAfterBreak="0">
    <w:nsid w:val="0B6C4D60"/>
    <w:multiLevelType w:val="multilevel"/>
    <w:tmpl w:val="D93C6E46"/>
    <w:lvl w:ilvl="0">
      <w:start w:val="1"/>
      <w:numFmt w:val="decimal"/>
      <w:suff w:val="nothing"/>
      <w:lvlText w:val="%1."/>
      <w:lvlJc w:val="left"/>
      <w:rPr>
        <w:rFonts w:ascii="Times New Roman" w:hAnsi="Times New Roman" w:cs="Times New Roman"/>
        <w:b w:val="0"/>
        <w:bCs w:val="0"/>
        <w:i w:val="0"/>
        <w:iCs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D551FED"/>
    <w:multiLevelType w:val="hybridMultilevel"/>
    <w:tmpl w:val="1B32D4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5EA7001"/>
    <w:multiLevelType w:val="hybridMultilevel"/>
    <w:tmpl w:val="9A8097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9510081"/>
    <w:multiLevelType w:val="hybridMultilevel"/>
    <w:tmpl w:val="E86E59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D1A3375"/>
    <w:multiLevelType w:val="hybridMultilevel"/>
    <w:tmpl w:val="BA0A9DB2"/>
    <w:lvl w:ilvl="0" w:tplc="2B80164E">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27C2FDB"/>
    <w:multiLevelType w:val="hybridMultilevel"/>
    <w:tmpl w:val="078CDBB2"/>
    <w:lvl w:ilvl="0" w:tplc="0415000F">
      <w:start w:val="1"/>
      <w:numFmt w:val="decimal"/>
      <w:lvlText w:val="%1."/>
      <w:lvlJc w:val="left"/>
      <w:pPr>
        <w:ind w:left="1068"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DCB0D50"/>
    <w:multiLevelType w:val="hybridMultilevel"/>
    <w:tmpl w:val="56685D5C"/>
    <w:lvl w:ilvl="0" w:tplc="0B60A928">
      <w:start w:val="1"/>
      <w:numFmt w:val="decimal"/>
      <w:lvlText w:val="%1)"/>
      <w:lvlJc w:val="left"/>
      <w:pPr>
        <w:ind w:left="643" w:hanging="360"/>
      </w:pPr>
      <w:rPr>
        <w:b w:val="0"/>
      </w:rPr>
    </w:lvl>
    <w:lvl w:ilvl="1" w:tplc="04150019">
      <w:start w:val="1"/>
      <w:numFmt w:val="lowerLetter"/>
      <w:lvlText w:val="%2."/>
      <w:lvlJc w:val="left"/>
      <w:pPr>
        <w:ind w:left="2010" w:hanging="360"/>
      </w:pPr>
    </w:lvl>
    <w:lvl w:ilvl="2" w:tplc="0415001B" w:tentative="1">
      <w:start w:val="1"/>
      <w:numFmt w:val="lowerRoman"/>
      <w:lvlText w:val="%3."/>
      <w:lvlJc w:val="right"/>
      <w:pPr>
        <w:ind w:left="2730" w:hanging="180"/>
      </w:pPr>
    </w:lvl>
    <w:lvl w:ilvl="3" w:tplc="0415000F" w:tentative="1">
      <w:start w:val="1"/>
      <w:numFmt w:val="decimal"/>
      <w:lvlText w:val="%4."/>
      <w:lvlJc w:val="left"/>
      <w:pPr>
        <w:ind w:left="3450" w:hanging="360"/>
      </w:pPr>
    </w:lvl>
    <w:lvl w:ilvl="4" w:tplc="04150019" w:tentative="1">
      <w:start w:val="1"/>
      <w:numFmt w:val="lowerLetter"/>
      <w:lvlText w:val="%5."/>
      <w:lvlJc w:val="left"/>
      <w:pPr>
        <w:ind w:left="4170" w:hanging="360"/>
      </w:pPr>
    </w:lvl>
    <w:lvl w:ilvl="5" w:tplc="0415001B" w:tentative="1">
      <w:start w:val="1"/>
      <w:numFmt w:val="lowerRoman"/>
      <w:lvlText w:val="%6."/>
      <w:lvlJc w:val="right"/>
      <w:pPr>
        <w:ind w:left="4890" w:hanging="180"/>
      </w:pPr>
    </w:lvl>
    <w:lvl w:ilvl="6" w:tplc="0415000F" w:tentative="1">
      <w:start w:val="1"/>
      <w:numFmt w:val="decimal"/>
      <w:lvlText w:val="%7."/>
      <w:lvlJc w:val="left"/>
      <w:pPr>
        <w:ind w:left="5610" w:hanging="360"/>
      </w:pPr>
    </w:lvl>
    <w:lvl w:ilvl="7" w:tplc="04150019" w:tentative="1">
      <w:start w:val="1"/>
      <w:numFmt w:val="lowerLetter"/>
      <w:lvlText w:val="%8."/>
      <w:lvlJc w:val="left"/>
      <w:pPr>
        <w:ind w:left="6330" w:hanging="360"/>
      </w:pPr>
    </w:lvl>
    <w:lvl w:ilvl="8" w:tplc="0415001B" w:tentative="1">
      <w:start w:val="1"/>
      <w:numFmt w:val="lowerRoman"/>
      <w:lvlText w:val="%9."/>
      <w:lvlJc w:val="right"/>
      <w:pPr>
        <w:ind w:left="7050" w:hanging="180"/>
      </w:pPr>
    </w:lvl>
  </w:abstractNum>
  <w:abstractNum w:abstractNumId="11" w15:restartNumberingAfterBreak="0">
    <w:nsid w:val="2EE12ECF"/>
    <w:multiLevelType w:val="hybridMultilevel"/>
    <w:tmpl w:val="617C67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74F1B87"/>
    <w:multiLevelType w:val="hybridMultilevel"/>
    <w:tmpl w:val="1E38BC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CA12A09"/>
    <w:multiLevelType w:val="hybridMultilevel"/>
    <w:tmpl w:val="CE2AA9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0280D15"/>
    <w:multiLevelType w:val="hybridMultilevel"/>
    <w:tmpl w:val="36C44C2E"/>
    <w:lvl w:ilvl="0" w:tplc="0415001B">
      <w:start w:val="1"/>
      <w:numFmt w:val="lowerRoman"/>
      <w:lvlText w:val="%1."/>
      <w:lvlJc w:val="righ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5" w15:restartNumberingAfterBreak="0">
    <w:nsid w:val="40BE05F0"/>
    <w:multiLevelType w:val="hybridMultilevel"/>
    <w:tmpl w:val="D50006CA"/>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545B786A"/>
    <w:multiLevelType w:val="hybridMultilevel"/>
    <w:tmpl w:val="A492FF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68506C7"/>
    <w:multiLevelType w:val="hybridMultilevel"/>
    <w:tmpl w:val="80AE1E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A374657"/>
    <w:multiLevelType w:val="hybridMultilevel"/>
    <w:tmpl w:val="835859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1694E81"/>
    <w:multiLevelType w:val="hybridMultilevel"/>
    <w:tmpl w:val="D17C2A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6E713BD0"/>
    <w:multiLevelType w:val="hybridMultilevel"/>
    <w:tmpl w:val="D1A4F9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55C21CF"/>
    <w:multiLevelType w:val="hybridMultilevel"/>
    <w:tmpl w:val="78E084C8"/>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2" w15:restartNumberingAfterBreak="0">
    <w:nsid w:val="7A86413B"/>
    <w:multiLevelType w:val="hybridMultilevel"/>
    <w:tmpl w:val="41F25098"/>
    <w:lvl w:ilvl="0" w:tplc="26B2D3C8">
      <w:start w:val="1"/>
      <w:numFmt w:val="decimal"/>
      <w:lvlText w:val="%1."/>
      <w:lvlJc w:val="left"/>
      <w:pPr>
        <w:ind w:left="644" w:hanging="360"/>
      </w:pPr>
      <w:rPr>
        <w:b/>
      </w:rPr>
    </w:lvl>
    <w:lvl w:ilvl="1" w:tplc="04150019">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3" w15:restartNumberingAfterBreak="0">
    <w:nsid w:val="7C4E7FDA"/>
    <w:multiLevelType w:val="hybridMultilevel"/>
    <w:tmpl w:val="7354E0D2"/>
    <w:lvl w:ilvl="0" w:tplc="56B8463C">
      <w:start w:val="1"/>
      <w:numFmt w:val="decimal"/>
      <w:lvlText w:val="%1."/>
      <w:lvlJc w:val="righ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0"/>
    <w:lvlOverride w:ilvl="0">
      <w:startOverride w:val="4"/>
    </w:lvlOverride>
    <w:lvlOverride w:ilvl="1">
      <w:startOverride w:val="1"/>
    </w:lvlOverride>
    <w:lvlOverride w:ilvl="2">
      <w:startOverride w:val="1"/>
    </w:lvlOverride>
  </w:num>
  <w:num w:numId="3">
    <w:abstractNumId w:val="22"/>
  </w:num>
  <w:num w:numId="4">
    <w:abstractNumId w:val="13"/>
  </w:num>
  <w:num w:numId="5">
    <w:abstractNumId w:val="12"/>
  </w:num>
  <w:num w:numId="6">
    <w:abstractNumId w:val="7"/>
  </w:num>
  <w:num w:numId="7">
    <w:abstractNumId w:val="19"/>
  </w:num>
  <w:num w:numId="8">
    <w:abstractNumId w:val="17"/>
  </w:num>
  <w:num w:numId="9">
    <w:abstractNumId w:val="4"/>
  </w:num>
  <w:num w:numId="10">
    <w:abstractNumId w:val="15"/>
  </w:num>
  <w:num w:numId="11">
    <w:abstractNumId w:val="20"/>
  </w:num>
  <w:num w:numId="12">
    <w:abstractNumId w:val="8"/>
  </w:num>
  <w:num w:numId="13">
    <w:abstractNumId w:val="18"/>
  </w:num>
  <w:num w:numId="14">
    <w:abstractNumId w:val="1"/>
  </w:num>
  <w:num w:numId="15">
    <w:abstractNumId w:val="5"/>
  </w:num>
  <w:num w:numId="16">
    <w:abstractNumId w:val="11"/>
  </w:num>
  <w:num w:numId="17">
    <w:abstractNumId w:val="16"/>
  </w:num>
  <w:num w:numId="18">
    <w:abstractNumId w:val="2"/>
  </w:num>
  <w:num w:numId="19">
    <w:abstractNumId w:val="23"/>
  </w:num>
  <w:num w:numId="20">
    <w:abstractNumId w:val="10"/>
  </w:num>
  <w:num w:numId="21">
    <w:abstractNumId w:val="21"/>
  </w:num>
  <w:num w:numId="22">
    <w:abstractNumId w:val="3"/>
  </w:num>
  <w:num w:numId="23">
    <w:abstractNumId w:val="14"/>
  </w:num>
  <w:num w:numId="24">
    <w:abstractNumId w:val="9"/>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110"/>
    <w:rsid w:val="00060AB9"/>
    <w:rsid w:val="000E7F81"/>
    <w:rsid w:val="00167874"/>
    <w:rsid w:val="001A4DCD"/>
    <w:rsid w:val="001D548A"/>
    <w:rsid w:val="00240AD8"/>
    <w:rsid w:val="002B00E3"/>
    <w:rsid w:val="002B0A1F"/>
    <w:rsid w:val="002B4450"/>
    <w:rsid w:val="00352D71"/>
    <w:rsid w:val="003655EA"/>
    <w:rsid w:val="003A056D"/>
    <w:rsid w:val="003B16E6"/>
    <w:rsid w:val="004622F0"/>
    <w:rsid w:val="004D518F"/>
    <w:rsid w:val="00556B8E"/>
    <w:rsid w:val="005B1CA7"/>
    <w:rsid w:val="005C0ABB"/>
    <w:rsid w:val="005D5285"/>
    <w:rsid w:val="00626FA7"/>
    <w:rsid w:val="00650D95"/>
    <w:rsid w:val="00652110"/>
    <w:rsid w:val="00677951"/>
    <w:rsid w:val="006A033F"/>
    <w:rsid w:val="006D7678"/>
    <w:rsid w:val="00712448"/>
    <w:rsid w:val="00744925"/>
    <w:rsid w:val="00750193"/>
    <w:rsid w:val="00751C61"/>
    <w:rsid w:val="0075623C"/>
    <w:rsid w:val="00770664"/>
    <w:rsid w:val="00774983"/>
    <w:rsid w:val="007B549F"/>
    <w:rsid w:val="007C7ABD"/>
    <w:rsid w:val="0093125F"/>
    <w:rsid w:val="00A06B29"/>
    <w:rsid w:val="00A15666"/>
    <w:rsid w:val="00A31BD2"/>
    <w:rsid w:val="00AB57BE"/>
    <w:rsid w:val="00BB4F96"/>
    <w:rsid w:val="00BC5F57"/>
    <w:rsid w:val="00C2536F"/>
    <w:rsid w:val="00C26C9F"/>
    <w:rsid w:val="00D52F45"/>
    <w:rsid w:val="00D83086"/>
    <w:rsid w:val="00D85DD9"/>
    <w:rsid w:val="00DC0291"/>
    <w:rsid w:val="00DD15A4"/>
    <w:rsid w:val="00E27786"/>
    <w:rsid w:val="00E54538"/>
    <w:rsid w:val="00F17139"/>
    <w:rsid w:val="00FF1B8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B7D13"/>
  <w15:docId w15:val="{14BCBFDC-9EAE-447B-8C9B-F0BD41A93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F1B8F"/>
    <w:rPr>
      <w:rFonts w:ascii="Calibri" w:eastAsia="Calibri" w:hAnsi="Calibri" w:cs="Calibri"/>
    </w:rPr>
  </w:style>
  <w:style w:type="paragraph" w:styleId="Nagwek1">
    <w:name w:val="heading 1"/>
    <w:basedOn w:val="Normalny"/>
    <w:next w:val="Normalny"/>
    <w:link w:val="Nagwek1Znak"/>
    <w:uiPriority w:val="99"/>
    <w:qFormat/>
    <w:rsid w:val="00FF1B8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2Noma">
    <w:name w:val="Nagłówek 2 Noma"/>
    <w:basedOn w:val="Nagwek1"/>
    <w:uiPriority w:val="17"/>
    <w:qFormat/>
    <w:rsid w:val="00FF1B8F"/>
    <w:pPr>
      <w:numPr>
        <w:ilvl w:val="1"/>
        <w:numId w:val="1"/>
      </w:numPr>
      <w:spacing w:after="240" w:line="240" w:lineRule="auto"/>
      <w:ind w:left="1003"/>
      <w:jc w:val="both"/>
      <w:outlineLvl w:val="1"/>
    </w:pPr>
    <w:rPr>
      <w:rFonts w:ascii="Arial" w:hAnsi="Arial" w:cs="Arial"/>
      <w:b/>
      <w:bCs/>
      <w:color w:val="auto"/>
      <w:szCs w:val="28"/>
    </w:rPr>
  </w:style>
  <w:style w:type="paragraph" w:customStyle="1" w:styleId="Nagwek3Noma">
    <w:name w:val="Nagłówek 3 Noma"/>
    <w:basedOn w:val="Nagwek2Noma"/>
    <w:next w:val="TekstPodstawowyNoma"/>
    <w:link w:val="Nagwek3NomaZnak"/>
    <w:uiPriority w:val="18"/>
    <w:qFormat/>
    <w:rsid w:val="00FF1B8F"/>
    <w:pPr>
      <w:numPr>
        <w:ilvl w:val="2"/>
      </w:numPr>
    </w:pPr>
    <w:rPr>
      <w:sz w:val="24"/>
    </w:rPr>
  </w:style>
  <w:style w:type="character" w:customStyle="1" w:styleId="Nagwek3NomaZnak">
    <w:name w:val="Nagłówek 3 Noma Znak"/>
    <w:basedOn w:val="Domylnaczcionkaakapitu"/>
    <w:link w:val="Nagwek3Noma"/>
    <w:uiPriority w:val="18"/>
    <w:locked/>
    <w:rsid w:val="00FF1B8F"/>
    <w:rPr>
      <w:rFonts w:ascii="Arial" w:eastAsiaTheme="majorEastAsia" w:hAnsi="Arial" w:cs="Arial"/>
      <w:b/>
      <w:bCs/>
      <w:sz w:val="24"/>
      <w:szCs w:val="28"/>
    </w:rPr>
  </w:style>
  <w:style w:type="paragraph" w:customStyle="1" w:styleId="TekstPodstawowyNoma">
    <w:name w:val="Tekst Podstawowy Noma"/>
    <w:basedOn w:val="Normalny"/>
    <w:link w:val="TekstPodstawowyNomaZnak"/>
    <w:uiPriority w:val="98"/>
    <w:qFormat/>
    <w:rsid w:val="00FF1B8F"/>
    <w:pPr>
      <w:spacing w:before="240" w:after="240" w:line="240" w:lineRule="auto"/>
      <w:jc w:val="both"/>
    </w:pPr>
    <w:rPr>
      <w:rFonts w:ascii="Arial" w:eastAsia="Times New Roman" w:hAnsi="Arial" w:cs="Times New Roman"/>
      <w:sz w:val="24"/>
    </w:rPr>
  </w:style>
  <w:style w:type="character" w:customStyle="1" w:styleId="TekstPodstawowyNomaZnak">
    <w:name w:val="Tekst Podstawowy Noma Znak"/>
    <w:basedOn w:val="Domylnaczcionkaakapitu"/>
    <w:link w:val="TekstPodstawowyNoma"/>
    <w:uiPriority w:val="98"/>
    <w:locked/>
    <w:rsid w:val="00FF1B8F"/>
    <w:rPr>
      <w:rFonts w:ascii="Arial" w:eastAsia="Times New Roman" w:hAnsi="Arial" w:cs="Times New Roman"/>
      <w:sz w:val="24"/>
    </w:rPr>
  </w:style>
  <w:style w:type="paragraph" w:customStyle="1" w:styleId="Nagwek4Noma">
    <w:name w:val="Nagłówek 4 Noma"/>
    <w:basedOn w:val="Nagwek3Noma"/>
    <w:next w:val="TekstPodstawowyNoma"/>
    <w:uiPriority w:val="98"/>
    <w:rsid w:val="00FF1B8F"/>
    <w:pPr>
      <w:numPr>
        <w:ilvl w:val="3"/>
      </w:numPr>
    </w:pPr>
  </w:style>
  <w:style w:type="paragraph" w:customStyle="1" w:styleId="Nagwek5Noma">
    <w:name w:val="Nagłówek 5 Noma"/>
    <w:basedOn w:val="Nagwek4Noma"/>
    <w:next w:val="TekstPodstawowyNoma"/>
    <w:uiPriority w:val="98"/>
    <w:rsid w:val="00FF1B8F"/>
    <w:pPr>
      <w:numPr>
        <w:ilvl w:val="4"/>
      </w:numPr>
      <w:tabs>
        <w:tab w:val="left" w:pos="1843"/>
      </w:tabs>
    </w:pPr>
  </w:style>
  <w:style w:type="paragraph" w:customStyle="1" w:styleId="Nagwek6Noma">
    <w:name w:val="Nagłówek 6 Noma"/>
    <w:basedOn w:val="Nagwek5Noma"/>
    <w:next w:val="TekstPodstawowyNoma"/>
    <w:uiPriority w:val="98"/>
    <w:rsid w:val="00FF1B8F"/>
    <w:pPr>
      <w:numPr>
        <w:ilvl w:val="5"/>
      </w:numPr>
    </w:pPr>
  </w:style>
  <w:style w:type="paragraph" w:styleId="Akapitzlist">
    <w:name w:val="List Paragraph"/>
    <w:aliases w:val="maz_wyliczenie,opis dzialania,K-P_odwolanie,A_wyliczenie,Akapit z listą 1,List Paragraph1,T_SZ_List Paragraph,Lista PR,Numerowanie,Kolorowa lista — akcent 11,CW_Lista,Table of contents numbered,Akapit z listą5,L1,List Paragraph,Obiekt"/>
    <w:basedOn w:val="Normalny"/>
    <w:link w:val="AkapitzlistZnak"/>
    <w:uiPriority w:val="99"/>
    <w:qFormat/>
    <w:rsid w:val="00FF1B8F"/>
    <w:pPr>
      <w:spacing w:after="200" w:line="276" w:lineRule="auto"/>
      <w:ind w:left="720"/>
      <w:contextualSpacing/>
    </w:pPr>
    <w:rPr>
      <w:rFonts w:eastAsia="Times New Roman" w:cs="Times New Roman"/>
    </w:rPr>
  </w:style>
  <w:style w:type="character" w:customStyle="1" w:styleId="AkapitzlistZnak">
    <w:name w:val="Akapit z listą Znak"/>
    <w:aliases w:val="maz_wyliczenie Znak,opis dzialania Znak,K-P_odwolanie Znak,A_wyliczenie Znak,Akapit z listą 1 Znak,List Paragraph1 Znak,T_SZ_List Paragraph Znak,Lista PR Znak,Numerowanie Znak,Kolorowa lista — akcent 11 Znak,CW_Lista Znak,L1 Znak"/>
    <w:basedOn w:val="Domylnaczcionkaakapitu"/>
    <w:link w:val="Akapitzlist"/>
    <w:uiPriority w:val="34"/>
    <w:qFormat/>
    <w:locked/>
    <w:rsid w:val="00FF1B8F"/>
    <w:rPr>
      <w:rFonts w:eastAsia="Times New Roman" w:cs="Times New Roman"/>
    </w:rPr>
  </w:style>
  <w:style w:type="character" w:customStyle="1" w:styleId="Nagwek1Znak">
    <w:name w:val="Nagłówek 1 Znak"/>
    <w:basedOn w:val="Domylnaczcionkaakapitu"/>
    <w:link w:val="Nagwek1"/>
    <w:uiPriority w:val="99"/>
    <w:rsid w:val="00FF1B8F"/>
    <w:rPr>
      <w:rFonts w:asciiTheme="majorHAnsi" w:eastAsiaTheme="majorEastAsia" w:hAnsiTheme="majorHAnsi" w:cstheme="majorBidi"/>
      <w:color w:val="2E74B5" w:themeColor="accent1" w:themeShade="BF"/>
      <w:sz w:val="32"/>
      <w:szCs w:val="32"/>
    </w:rPr>
  </w:style>
  <w:style w:type="paragraph" w:customStyle="1" w:styleId="TableContents">
    <w:name w:val="Table Contents"/>
    <w:basedOn w:val="Normalny"/>
    <w:uiPriority w:val="99"/>
    <w:rsid w:val="00FF1B8F"/>
    <w:pPr>
      <w:suppressLineNumbers/>
      <w:suppressAutoHyphens/>
      <w:autoSpaceDN w:val="0"/>
      <w:spacing w:after="0" w:line="240" w:lineRule="auto"/>
      <w:textAlignment w:val="baseline"/>
    </w:pPr>
    <w:rPr>
      <w:rFonts w:ascii="Times New Roman" w:eastAsia="SimSun" w:hAnsi="Times New Roman" w:cs="Times New Roman"/>
      <w:kern w:val="3"/>
      <w:sz w:val="24"/>
      <w:szCs w:val="24"/>
      <w:lang w:eastAsia="zh-CN"/>
    </w:rPr>
  </w:style>
  <w:style w:type="paragraph" w:styleId="Nagwek">
    <w:name w:val="header"/>
    <w:basedOn w:val="Normalny"/>
    <w:link w:val="NagwekZnak"/>
    <w:uiPriority w:val="99"/>
    <w:rsid w:val="00FF1B8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F1B8F"/>
    <w:rPr>
      <w:rFonts w:ascii="Calibri" w:eastAsia="Calibri" w:hAnsi="Calibri" w:cs="Calibri"/>
    </w:rPr>
  </w:style>
  <w:style w:type="paragraph" w:styleId="Stopka">
    <w:name w:val="footer"/>
    <w:basedOn w:val="Normalny"/>
    <w:link w:val="StopkaZnak"/>
    <w:uiPriority w:val="99"/>
    <w:rsid w:val="00FF1B8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F1B8F"/>
    <w:rPr>
      <w:rFonts w:ascii="Calibri" w:eastAsia="Calibri" w:hAnsi="Calibri" w:cs="Calibri"/>
    </w:rPr>
  </w:style>
  <w:style w:type="character" w:styleId="Hipercze">
    <w:name w:val="Hyperlink"/>
    <w:basedOn w:val="Domylnaczcionkaakapitu"/>
    <w:uiPriority w:val="99"/>
    <w:rsid w:val="00FF1B8F"/>
    <w:rPr>
      <w:color w:val="0563C1"/>
      <w:u w:val="single"/>
    </w:rPr>
  </w:style>
  <w:style w:type="paragraph" w:customStyle="1" w:styleId="siwzpoziom3">
    <w:name w:val="siwz poziom 3"/>
    <w:basedOn w:val="Normalny"/>
    <w:uiPriority w:val="99"/>
    <w:rsid w:val="00C26C9F"/>
    <w:pPr>
      <w:numPr>
        <w:ilvl w:val="2"/>
        <w:numId w:val="14"/>
      </w:numPr>
      <w:suppressAutoHyphens/>
      <w:spacing w:after="0" w:line="240" w:lineRule="auto"/>
      <w:jc w:val="both"/>
    </w:pPr>
    <w:rPr>
      <w:rFonts w:ascii="Arial" w:eastAsia="Times New Roman" w:hAnsi="Arial" w:cs="Arial"/>
      <w:kern w:val="1"/>
      <w:lang w:eastAsia="zh-CN"/>
    </w:rPr>
  </w:style>
  <w:style w:type="paragraph" w:styleId="Tekstdymka">
    <w:name w:val="Balloon Text"/>
    <w:basedOn w:val="Normalny"/>
    <w:link w:val="TekstdymkaZnak"/>
    <w:uiPriority w:val="99"/>
    <w:semiHidden/>
    <w:unhideWhenUsed/>
    <w:rsid w:val="00A06B2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06B29"/>
    <w:rPr>
      <w:rFonts w:ascii="Tahoma" w:eastAsia="Calibri" w:hAnsi="Tahoma" w:cs="Tahoma"/>
      <w:sz w:val="16"/>
      <w:szCs w:val="16"/>
    </w:rPr>
  </w:style>
  <w:style w:type="paragraph" w:styleId="NormalnyWeb">
    <w:name w:val="Normal (Web)"/>
    <w:basedOn w:val="Normalny"/>
    <w:uiPriority w:val="99"/>
    <w:unhideWhenUsed/>
    <w:rsid w:val="006D7678"/>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Pages>
  <Words>1218</Words>
  <Characters>7314</Characters>
  <Application>Microsoft Office Word</Application>
  <DocSecurity>0</DocSecurity>
  <Lines>60</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 Frica</dc:creator>
  <cp:lastModifiedBy>Bogumiła Wiktorska</cp:lastModifiedBy>
  <cp:revision>4</cp:revision>
  <cp:lastPrinted>2021-04-01T12:51:00Z</cp:lastPrinted>
  <dcterms:created xsi:type="dcterms:W3CDTF">2021-04-09T06:56:00Z</dcterms:created>
  <dcterms:modified xsi:type="dcterms:W3CDTF">2021-04-15T13:50:00Z</dcterms:modified>
</cp:coreProperties>
</file>